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82" w:rsidRDefault="00F62982" w:rsidP="00F62982">
      <w:pPr>
        <w:pStyle w:val="NormalWeb"/>
        <w:spacing w:before="0" w:beforeAutospacing="0" w:after="0" w:afterAutospacing="0"/>
        <w:jc w:val="both"/>
        <w:rPr>
          <w:b/>
          <w:bCs/>
          <w:color w:val="333333"/>
          <w:sz w:val="21"/>
          <w:szCs w:val="21"/>
          <w:lang w:val="es-ES"/>
        </w:rPr>
      </w:pPr>
      <w:bookmarkStart w:id="0" w:name="_GoBack"/>
      <w:bookmarkEnd w:id="0"/>
      <w:r>
        <w:rPr>
          <w:noProof/>
        </w:rPr>
        <w:drawing>
          <wp:inline distT="0" distB="0" distL="0" distR="0" wp14:anchorId="5359C211" wp14:editId="3576E855">
            <wp:extent cx="733425" cy="5334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3425" cy="533400"/>
                    </a:xfrm>
                    <a:prstGeom prst="rect">
                      <a:avLst/>
                    </a:prstGeom>
                    <a:noFill/>
                    <a:ln w="9525">
                      <a:noFill/>
                      <a:miter lim="800000"/>
                      <a:headEnd/>
                      <a:tailEnd/>
                    </a:ln>
                  </pic:spPr>
                </pic:pic>
              </a:graphicData>
            </a:graphic>
          </wp:inline>
        </w:drawing>
      </w:r>
    </w:p>
    <w:p w:rsidR="00F62982" w:rsidRDefault="00F62982" w:rsidP="00F62982">
      <w:pPr>
        <w:pStyle w:val="NormalWeb"/>
        <w:spacing w:before="0" w:beforeAutospacing="0" w:after="0" w:afterAutospacing="0"/>
        <w:ind w:left="4956" w:firstLine="708"/>
        <w:jc w:val="both"/>
        <w:rPr>
          <w:b/>
          <w:bCs/>
          <w:color w:val="333333"/>
          <w:sz w:val="21"/>
          <w:szCs w:val="21"/>
          <w:lang w:val="es-ES"/>
        </w:rPr>
      </w:pPr>
    </w:p>
    <w:p w:rsidR="00F62982" w:rsidRPr="00181835" w:rsidRDefault="00F62982" w:rsidP="00F62982">
      <w:pPr>
        <w:pStyle w:val="NormalWeb"/>
        <w:spacing w:before="0" w:beforeAutospacing="0" w:after="0" w:afterAutospacing="0"/>
        <w:jc w:val="both"/>
        <w:rPr>
          <w:rFonts w:ascii="Verdana" w:hAnsi="Verdana" w:cstheme="minorHAnsi"/>
          <w:b/>
          <w:bCs/>
          <w:sz w:val="16"/>
          <w:szCs w:val="16"/>
          <w:lang w:val="es-ES"/>
        </w:rPr>
      </w:pPr>
      <w:r w:rsidRPr="00181835">
        <w:rPr>
          <w:rFonts w:ascii="Verdana" w:hAnsi="Verdana" w:cstheme="minorHAnsi"/>
          <w:b/>
          <w:bCs/>
          <w:sz w:val="16"/>
          <w:szCs w:val="16"/>
          <w:lang w:val="es-ES"/>
        </w:rPr>
        <w:t>Servicio Nacional de Aduanas</w:t>
      </w:r>
    </w:p>
    <w:p w:rsidR="00F62982" w:rsidRPr="00181835" w:rsidRDefault="00F62982" w:rsidP="00F62982">
      <w:pPr>
        <w:pStyle w:val="NormalWeb"/>
        <w:spacing w:before="0" w:beforeAutospacing="0" w:after="0" w:afterAutospacing="0"/>
        <w:jc w:val="both"/>
        <w:rPr>
          <w:rFonts w:ascii="Verdana" w:hAnsi="Verdana" w:cstheme="minorHAnsi"/>
          <w:b/>
          <w:bCs/>
          <w:sz w:val="16"/>
          <w:szCs w:val="16"/>
          <w:lang w:val="es-ES"/>
        </w:rPr>
      </w:pPr>
      <w:r w:rsidRPr="00181835">
        <w:rPr>
          <w:rFonts w:ascii="Verdana" w:hAnsi="Verdana" w:cstheme="minorHAnsi"/>
          <w:b/>
          <w:bCs/>
          <w:sz w:val="16"/>
          <w:szCs w:val="16"/>
          <w:lang w:val="es-ES"/>
        </w:rPr>
        <w:t>Dirección Nacional</w:t>
      </w:r>
    </w:p>
    <w:p w:rsidR="00F62982" w:rsidRPr="00A243A4" w:rsidRDefault="00F62982" w:rsidP="00F62982">
      <w:pPr>
        <w:pStyle w:val="NormalWeb"/>
        <w:spacing w:before="0" w:beforeAutospacing="0" w:after="0" w:afterAutospacing="0"/>
        <w:ind w:left="4678"/>
        <w:jc w:val="both"/>
        <w:rPr>
          <w:rFonts w:asciiTheme="minorHAnsi" w:hAnsiTheme="minorHAnsi"/>
          <w:b/>
          <w:bCs/>
          <w:sz w:val="22"/>
          <w:szCs w:val="22"/>
          <w:lang w:val="es-ES"/>
        </w:rPr>
      </w:pPr>
      <w:r w:rsidRPr="00A243A4">
        <w:rPr>
          <w:rFonts w:asciiTheme="minorHAnsi" w:hAnsiTheme="minorHAnsi"/>
          <w:b/>
          <w:bCs/>
          <w:sz w:val="22"/>
          <w:szCs w:val="22"/>
          <w:lang w:val="es-ES"/>
        </w:rPr>
        <w:t>RESOLUCIÓN N°</w:t>
      </w:r>
    </w:p>
    <w:p w:rsidR="00F62982" w:rsidRDefault="00F62982" w:rsidP="00F62982">
      <w:pPr>
        <w:pStyle w:val="NormalWeb"/>
        <w:spacing w:before="0" w:beforeAutospacing="0" w:after="0" w:afterAutospacing="0"/>
        <w:ind w:left="4678" w:hanging="420"/>
        <w:jc w:val="both"/>
        <w:rPr>
          <w:rFonts w:asciiTheme="minorHAnsi" w:hAnsiTheme="minorHAnsi"/>
          <w:b/>
          <w:bCs/>
          <w:sz w:val="22"/>
          <w:szCs w:val="22"/>
          <w:lang w:val="es-ES"/>
        </w:rPr>
      </w:pPr>
      <w:r>
        <w:rPr>
          <w:rFonts w:asciiTheme="minorHAnsi" w:hAnsiTheme="minorHAnsi"/>
          <w:b/>
          <w:bCs/>
          <w:sz w:val="22"/>
          <w:szCs w:val="22"/>
          <w:lang w:val="es-ES"/>
        </w:rPr>
        <w:tab/>
      </w:r>
    </w:p>
    <w:p w:rsidR="00F62982" w:rsidRPr="00A243A4" w:rsidRDefault="00F62982" w:rsidP="00F62982">
      <w:pPr>
        <w:pStyle w:val="NormalWeb"/>
        <w:spacing w:before="0" w:beforeAutospacing="0" w:after="0" w:afterAutospacing="0"/>
        <w:ind w:left="4678"/>
        <w:jc w:val="both"/>
        <w:rPr>
          <w:rFonts w:asciiTheme="minorHAnsi" w:hAnsiTheme="minorHAnsi"/>
          <w:b/>
          <w:bCs/>
          <w:sz w:val="22"/>
          <w:szCs w:val="22"/>
          <w:lang w:val="es-ES"/>
        </w:rPr>
      </w:pPr>
      <w:r w:rsidRPr="00A243A4">
        <w:rPr>
          <w:rFonts w:asciiTheme="minorHAnsi" w:hAnsiTheme="minorHAnsi"/>
          <w:b/>
          <w:bCs/>
          <w:sz w:val="22"/>
          <w:szCs w:val="22"/>
          <w:lang w:val="es-ES"/>
        </w:rPr>
        <w:t>Valparaíso,</w:t>
      </w:r>
    </w:p>
    <w:p w:rsidR="00F62982" w:rsidRDefault="00F62982" w:rsidP="00F62982">
      <w:pPr>
        <w:pStyle w:val="NormalWeb"/>
        <w:spacing w:before="0" w:beforeAutospacing="0" w:after="0" w:afterAutospacing="0"/>
        <w:ind w:left="4678" w:hanging="420"/>
        <w:jc w:val="both"/>
        <w:rPr>
          <w:rFonts w:asciiTheme="minorHAnsi" w:hAnsiTheme="minorHAnsi"/>
          <w:b/>
          <w:bCs/>
          <w:sz w:val="22"/>
          <w:szCs w:val="22"/>
          <w:lang w:val="es-ES"/>
        </w:rPr>
      </w:pPr>
    </w:p>
    <w:p w:rsidR="006C3E2E" w:rsidRPr="00A243A4" w:rsidRDefault="006C3E2E" w:rsidP="00F62982">
      <w:pPr>
        <w:pStyle w:val="NormalWeb"/>
        <w:spacing w:before="0" w:beforeAutospacing="0" w:after="0" w:afterAutospacing="0"/>
        <w:ind w:left="4678" w:hanging="420"/>
        <w:jc w:val="both"/>
        <w:rPr>
          <w:rFonts w:asciiTheme="minorHAnsi" w:hAnsiTheme="minorHAnsi"/>
          <w:b/>
          <w:bCs/>
          <w:sz w:val="22"/>
          <w:szCs w:val="22"/>
          <w:lang w:val="es-ES"/>
        </w:rPr>
      </w:pPr>
    </w:p>
    <w:p w:rsidR="00BB5947" w:rsidRPr="00BB5947" w:rsidRDefault="00BB5947" w:rsidP="00BB5947">
      <w:pPr>
        <w:shd w:val="clear" w:color="auto" w:fill="FFFFFF"/>
        <w:spacing w:after="0" w:line="240" w:lineRule="auto"/>
        <w:ind w:left="4678"/>
        <w:jc w:val="both"/>
        <w:rPr>
          <w:rFonts w:ascii="Arial" w:eastAsia="Times New Roman" w:hAnsi="Arial" w:cs="Arial"/>
          <w:color w:val="333333"/>
          <w:sz w:val="21"/>
          <w:szCs w:val="21"/>
          <w:lang w:eastAsia="es-CL"/>
        </w:rPr>
      </w:pPr>
      <w:r w:rsidRPr="00BB5947">
        <w:rPr>
          <w:rFonts w:ascii="Arial" w:eastAsia="Times New Roman" w:hAnsi="Arial" w:cs="Arial"/>
          <w:b/>
          <w:bCs/>
          <w:color w:val="333333"/>
          <w:sz w:val="21"/>
          <w:szCs w:val="21"/>
          <w:bdr w:val="none" w:sz="0" w:space="0" w:color="auto" w:frame="1"/>
          <w:lang w:eastAsia="es-CL"/>
        </w:rPr>
        <w:t>VISTOS:</w:t>
      </w:r>
    </w:p>
    <w:p w:rsidR="00BB5947" w:rsidRDefault="00BB5947" w:rsidP="00BB5947">
      <w:pPr>
        <w:shd w:val="clear" w:color="auto" w:fill="FFFFFF"/>
        <w:spacing w:before="225" w:after="225" w:line="240" w:lineRule="auto"/>
        <w:ind w:left="4678"/>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 </w:t>
      </w:r>
      <w:r>
        <w:rPr>
          <w:rFonts w:ascii="Arial" w:eastAsia="Times New Roman" w:hAnsi="Arial" w:cs="Arial"/>
          <w:color w:val="333333"/>
          <w:sz w:val="21"/>
          <w:szCs w:val="21"/>
          <w:lang w:eastAsia="es-CL"/>
        </w:rPr>
        <w:t>El Artículo 77 de la Ordenanza de Aduanas.</w:t>
      </w:r>
    </w:p>
    <w:p w:rsidR="00BB5947" w:rsidRDefault="00BB5947" w:rsidP="00BB5947">
      <w:pPr>
        <w:shd w:val="clear" w:color="auto" w:fill="FFFFFF"/>
        <w:spacing w:before="225" w:after="225" w:line="240" w:lineRule="auto"/>
        <w:ind w:firstLine="4678"/>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El Capítulo IV del Compendio de Normas Aduaneras, cuyo texto fue actualizado mediante la resolución N° 1300 del año 2006.</w:t>
      </w:r>
    </w:p>
    <w:p w:rsidR="00500316" w:rsidRDefault="00500316" w:rsidP="00BB5947">
      <w:pPr>
        <w:shd w:val="clear" w:color="auto" w:fill="FFFFFF"/>
        <w:spacing w:after="0" w:line="240" w:lineRule="auto"/>
        <w:ind w:firstLine="4678"/>
        <w:jc w:val="both"/>
        <w:rPr>
          <w:rFonts w:ascii="Arial" w:eastAsia="Times New Roman" w:hAnsi="Arial" w:cs="Arial"/>
          <w:b/>
          <w:bCs/>
          <w:color w:val="333333"/>
          <w:sz w:val="21"/>
          <w:szCs w:val="21"/>
          <w:bdr w:val="none" w:sz="0" w:space="0" w:color="auto" w:frame="1"/>
          <w:lang w:eastAsia="es-CL"/>
        </w:rPr>
      </w:pPr>
    </w:p>
    <w:p w:rsidR="00BB5947" w:rsidRDefault="00BB5947" w:rsidP="00BB5947">
      <w:pPr>
        <w:shd w:val="clear" w:color="auto" w:fill="FFFFFF"/>
        <w:spacing w:after="0" w:line="240" w:lineRule="auto"/>
        <w:ind w:firstLine="4678"/>
        <w:jc w:val="both"/>
        <w:rPr>
          <w:rFonts w:ascii="Arial" w:eastAsia="Times New Roman" w:hAnsi="Arial" w:cs="Arial"/>
          <w:b/>
          <w:bCs/>
          <w:color w:val="333333"/>
          <w:sz w:val="21"/>
          <w:szCs w:val="21"/>
          <w:bdr w:val="none" w:sz="0" w:space="0" w:color="auto" w:frame="1"/>
          <w:lang w:eastAsia="es-CL"/>
        </w:rPr>
      </w:pPr>
      <w:r w:rsidRPr="00BB5947">
        <w:rPr>
          <w:rFonts w:ascii="Arial" w:eastAsia="Times New Roman" w:hAnsi="Arial" w:cs="Arial"/>
          <w:b/>
          <w:bCs/>
          <w:color w:val="333333"/>
          <w:sz w:val="21"/>
          <w:szCs w:val="21"/>
          <w:bdr w:val="none" w:sz="0" w:space="0" w:color="auto" w:frame="1"/>
          <w:lang w:eastAsia="es-CL"/>
        </w:rPr>
        <w:t>CONSIDERANDO:</w:t>
      </w:r>
    </w:p>
    <w:p w:rsidR="00BB5947" w:rsidRPr="00BB5947" w:rsidRDefault="00BB5947" w:rsidP="00BB5947">
      <w:pPr>
        <w:shd w:val="clear" w:color="auto" w:fill="FFFFFF"/>
        <w:spacing w:after="0" w:line="240" w:lineRule="auto"/>
        <w:ind w:firstLine="4678"/>
        <w:jc w:val="both"/>
        <w:rPr>
          <w:rFonts w:ascii="Arial" w:eastAsia="Times New Roman" w:hAnsi="Arial" w:cs="Arial"/>
          <w:color w:val="333333"/>
          <w:sz w:val="21"/>
          <w:szCs w:val="21"/>
          <w:lang w:eastAsia="es-CL"/>
        </w:rPr>
      </w:pPr>
    </w:p>
    <w:p w:rsidR="00BB5947" w:rsidRPr="00BB5947" w:rsidRDefault="00BB5947" w:rsidP="00BB5947">
      <w:pPr>
        <w:shd w:val="clear" w:color="auto" w:fill="FFFFFF"/>
        <w:spacing w:after="0" w:line="240" w:lineRule="auto"/>
        <w:ind w:firstLine="4678"/>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 xml:space="preserve">Que, en el marco de la agenda modernizadora del Estado, impulsada desde el Ministerio de Hacienda, algunas iniciativas estratégicas se encuentran dirigidas a impulsar la digitalización de trámites y la optimización de los procesos, de manera de entregar una mejor atención ciudadana. </w:t>
      </w:r>
    </w:p>
    <w:p w:rsidR="00BB5947" w:rsidRPr="00BB5947" w:rsidRDefault="00BB5947" w:rsidP="006602E2">
      <w:pPr>
        <w:shd w:val="clear" w:color="auto" w:fill="FFFFFF"/>
        <w:spacing w:before="225" w:after="225" w:line="240" w:lineRule="auto"/>
        <w:ind w:firstLine="4678"/>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 xml:space="preserve">Que, en este contexto se ha </w:t>
      </w:r>
      <w:r>
        <w:rPr>
          <w:rFonts w:ascii="Arial" w:eastAsia="Times New Roman" w:hAnsi="Arial" w:cs="Arial"/>
          <w:color w:val="333333"/>
          <w:sz w:val="21"/>
          <w:szCs w:val="21"/>
          <w:lang w:eastAsia="es-CL"/>
        </w:rPr>
        <w:t xml:space="preserve">estimado conveniente contemplar </w:t>
      </w:r>
      <w:r w:rsidR="006602E2">
        <w:rPr>
          <w:rFonts w:ascii="Arial" w:eastAsia="Times New Roman" w:hAnsi="Arial" w:cs="Arial"/>
          <w:color w:val="333333"/>
          <w:sz w:val="21"/>
          <w:szCs w:val="21"/>
          <w:lang w:eastAsia="es-CL"/>
        </w:rPr>
        <w:t xml:space="preserve">expresamente </w:t>
      </w:r>
      <w:r>
        <w:rPr>
          <w:rFonts w:ascii="Arial" w:eastAsia="Times New Roman" w:hAnsi="Arial" w:cs="Arial"/>
          <w:color w:val="333333"/>
          <w:sz w:val="21"/>
          <w:szCs w:val="21"/>
          <w:lang w:eastAsia="es-CL"/>
        </w:rPr>
        <w:t xml:space="preserve">en la normativa aduanera, </w:t>
      </w:r>
      <w:r w:rsidR="006602E2">
        <w:rPr>
          <w:rFonts w:ascii="Arial" w:eastAsia="Times New Roman" w:hAnsi="Arial" w:cs="Arial"/>
          <w:color w:val="333333"/>
          <w:sz w:val="21"/>
          <w:szCs w:val="21"/>
          <w:lang w:eastAsia="es-CL"/>
        </w:rPr>
        <w:t xml:space="preserve">la posibilidad </w:t>
      </w:r>
      <w:r w:rsidR="00121AA4">
        <w:rPr>
          <w:rFonts w:ascii="Arial" w:eastAsia="Times New Roman" w:hAnsi="Arial" w:cs="Arial"/>
          <w:color w:val="333333"/>
          <w:sz w:val="21"/>
          <w:szCs w:val="21"/>
          <w:lang w:eastAsia="es-CL"/>
        </w:rPr>
        <w:t xml:space="preserve">de </w:t>
      </w:r>
      <w:r w:rsidR="006602E2">
        <w:rPr>
          <w:rFonts w:ascii="Arial" w:eastAsia="Times New Roman" w:hAnsi="Arial" w:cs="Arial"/>
          <w:color w:val="333333"/>
          <w:sz w:val="21"/>
          <w:szCs w:val="21"/>
          <w:lang w:eastAsia="es-CL"/>
        </w:rPr>
        <w:t xml:space="preserve">que la copia no negociable del conocimiento de embarque que </w:t>
      </w:r>
      <w:r w:rsidR="006602E2">
        <w:rPr>
          <w:rFonts w:ascii="Arial" w:eastAsia="Times New Roman" w:hAnsi="Arial" w:cs="Arial"/>
          <w:color w:val="333333"/>
          <w:sz w:val="21"/>
          <w:szCs w:val="21"/>
          <w:lang w:eastAsia="es-CL"/>
        </w:rPr>
        <w:lastRenderedPageBreak/>
        <w:t xml:space="preserve">debe ser utilizada para la </w:t>
      </w:r>
      <w:r w:rsidR="006C3E2E">
        <w:rPr>
          <w:rFonts w:ascii="Arial" w:eastAsia="Times New Roman" w:hAnsi="Arial" w:cs="Arial"/>
          <w:color w:val="333333"/>
          <w:sz w:val="21"/>
          <w:szCs w:val="21"/>
          <w:lang w:eastAsia="es-CL"/>
        </w:rPr>
        <w:t xml:space="preserve">legalización </w:t>
      </w:r>
      <w:r w:rsidR="006602E2">
        <w:rPr>
          <w:rFonts w:ascii="Arial" w:eastAsia="Times New Roman" w:hAnsi="Arial" w:cs="Arial"/>
          <w:color w:val="333333"/>
          <w:sz w:val="21"/>
          <w:szCs w:val="21"/>
          <w:lang w:eastAsia="es-CL"/>
        </w:rPr>
        <w:t>de la declaración de exportación</w:t>
      </w:r>
      <w:r w:rsidR="00175B81">
        <w:rPr>
          <w:rFonts w:ascii="Arial" w:eastAsia="Times New Roman" w:hAnsi="Arial" w:cs="Arial"/>
          <w:color w:val="333333"/>
          <w:sz w:val="21"/>
          <w:szCs w:val="21"/>
          <w:lang w:eastAsia="es-CL"/>
        </w:rPr>
        <w:t>,</w:t>
      </w:r>
      <w:r w:rsidR="006602E2">
        <w:rPr>
          <w:rFonts w:ascii="Arial" w:eastAsia="Times New Roman" w:hAnsi="Arial" w:cs="Arial"/>
          <w:color w:val="333333"/>
          <w:sz w:val="21"/>
          <w:szCs w:val="21"/>
          <w:lang w:eastAsia="es-CL"/>
        </w:rPr>
        <w:t xml:space="preserve"> y mantenida por el despachador de aduana en la carpeta de </w:t>
      </w:r>
      <w:r w:rsidR="00BF6891">
        <w:rPr>
          <w:rFonts w:ascii="Arial" w:eastAsia="Times New Roman" w:hAnsi="Arial" w:cs="Arial"/>
          <w:color w:val="333333"/>
          <w:sz w:val="21"/>
          <w:szCs w:val="21"/>
          <w:lang w:eastAsia="es-CL"/>
        </w:rPr>
        <w:t xml:space="preserve">la </w:t>
      </w:r>
      <w:r w:rsidR="006602E2">
        <w:rPr>
          <w:rFonts w:ascii="Arial" w:eastAsia="Times New Roman" w:hAnsi="Arial" w:cs="Arial"/>
          <w:color w:val="333333"/>
          <w:sz w:val="21"/>
          <w:szCs w:val="21"/>
          <w:lang w:eastAsia="es-CL"/>
        </w:rPr>
        <w:t xml:space="preserve">operación, pueda consistir en una copia </w:t>
      </w:r>
      <w:r w:rsidR="00175B81">
        <w:rPr>
          <w:rFonts w:ascii="Arial" w:eastAsia="Times New Roman" w:hAnsi="Arial" w:cs="Arial"/>
          <w:color w:val="333333"/>
          <w:sz w:val="21"/>
          <w:szCs w:val="21"/>
          <w:lang w:eastAsia="es-CL"/>
        </w:rPr>
        <w:t>e</w:t>
      </w:r>
      <w:r w:rsidR="006602E2">
        <w:rPr>
          <w:rFonts w:ascii="Arial" w:eastAsia="Times New Roman" w:hAnsi="Arial" w:cs="Arial"/>
          <w:color w:val="333333"/>
          <w:sz w:val="21"/>
          <w:szCs w:val="21"/>
          <w:lang w:eastAsia="es-CL"/>
        </w:rPr>
        <w:t>sc</w:t>
      </w:r>
      <w:r w:rsidR="00175B81">
        <w:rPr>
          <w:rFonts w:ascii="Arial" w:eastAsia="Times New Roman" w:hAnsi="Arial" w:cs="Arial"/>
          <w:color w:val="333333"/>
          <w:sz w:val="21"/>
          <w:szCs w:val="21"/>
          <w:lang w:eastAsia="es-CL"/>
        </w:rPr>
        <w:t xml:space="preserve">aneada </w:t>
      </w:r>
      <w:r w:rsidR="006602E2">
        <w:rPr>
          <w:rFonts w:ascii="Arial" w:eastAsia="Times New Roman" w:hAnsi="Arial" w:cs="Arial"/>
          <w:color w:val="333333"/>
          <w:sz w:val="21"/>
          <w:szCs w:val="21"/>
          <w:lang w:eastAsia="es-CL"/>
        </w:rPr>
        <w:t xml:space="preserve">del mismo, enviada por su emisor vía correo electrónico, </w:t>
      </w:r>
      <w:r w:rsidR="00BF6891">
        <w:rPr>
          <w:rFonts w:ascii="Arial" w:eastAsia="Times New Roman" w:hAnsi="Arial" w:cs="Arial"/>
          <w:color w:val="333333"/>
          <w:sz w:val="21"/>
          <w:szCs w:val="21"/>
          <w:lang w:eastAsia="es-CL"/>
        </w:rPr>
        <w:t xml:space="preserve">estableciendo un plazo para dicha entrega o disposición, </w:t>
      </w:r>
      <w:r w:rsidR="006602E2">
        <w:rPr>
          <w:rFonts w:ascii="Arial" w:eastAsia="Times New Roman" w:hAnsi="Arial" w:cs="Arial"/>
          <w:color w:val="333333"/>
          <w:sz w:val="21"/>
          <w:szCs w:val="21"/>
          <w:lang w:eastAsia="es-CL"/>
        </w:rPr>
        <w:t xml:space="preserve">simplificando </w:t>
      </w:r>
      <w:r w:rsidR="00BF6891">
        <w:rPr>
          <w:rFonts w:ascii="Arial" w:eastAsia="Times New Roman" w:hAnsi="Arial" w:cs="Arial"/>
          <w:color w:val="333333"/>
          <w:sz w:val="21"/>
          <w:szCs w:val="21"/>
          <w:lang w:eastAsia="es-CL"/>
        </w:rPr>
        <w:t xml:space="preserve">y agilizando </w:t>
      </w:r>
      <w:r w:rsidR="006602E2">
        <w:rPr>
          <w:rFonts w:ascii="Arial" w:eastAsia="Times New Roman" w:hAnsi="Arial" w:cs="Arial"/>
          <w:color w:val="333333"/>
          <w:sz w:val="21"/>
          <w:szCs w:val="21"/>
          <w:lang w:eastAsia="es-CL"/>
        </w:rPr>
        <w:t>de este modo el procedimiento de legalización de la exportación</w:t>
      </w:r>
      <w:r w:rsidR="00175B81">
        <w:rPr>
          <w:rFonts w:ascii="Arial" w:eastAsia="Times New Roman" w:hAnsi="Arial" w:cs="Arial"/>
          <w:color w:val="333333"/>
          <w:sz w:val="21"/>
          <w:szCs w:val="21"/>
          <w:lang w:eastAsia="es-CL"/>
        </w:rPr>
        <w:t xml:space="preserve">. </w:t>
      </w:r>
    </w:p>
    <w:p w:rsidR="006C3E2E" w:rsidRDefault="006C3E2E" w:rsidP="006C3E2E">
      <w:pPr>
        <w:ind w:firstLine="4678"/>
        <w:jc w:val="both"/>
        <w:rPr>
          <w:rFonts w:ascii="Arial" w:hAnsi="Arial" w:cs="Arial"/>
          <w:sz w:val="21"/>
          <w:szCs w:val="21"/>
        </w:rPr>
      </w:pPr>
      <w:r w:rsidRPr="006C3E2E">
        <w:rPr>
          <w:rFonts w:ascii="Arial" w:hAnsi="Arial" w:cs="Arial"/>
          <w:sz w:val="21"/>
          <w:szCs w:val="21"/>
        </w:rPr>
        <w:t>Que</w:t>
      </w:r>
      <w:r>
        <w:rPr>
          <w:rFonts w:ascii="Arial" w:hAnsi="Arial" w:cs="Arial"/>
          <w:sz w:val="21"/>
          <w:szCs w:val="21"/>
        </w:rPr>
        <w:t>,</w:t>
      </w:r>
      <w:r w:rsidRPr="006C3E2E">
        <w:rPr>
          <w:rFonts w:ascii="Arial" w:hAnsi="Arial" w:cs="Arial"/>
          <w:sz w:val="21"/>
          <w:szCs w:val="21"/>
        </w:rPr>
        <w:t xml:space="preserve"> consultados los demás operadores de comercio involucrados en este proceso, se ha hecho una práctica común que la copia no negociable del conocimiento de embarque sea enviad</w:t>
      </w:r>
      <w:r>
        <w:rPr>
          <w:rFonts w:ascii="Arial" w:hAnsi="Arial" w:cs="Arial"/>
          <w:sz w:val="21"/>
          <w:szCs w:val="21"/>
        </w:rPr>
        <w:t>a</w:t>
      </w:r>
      <w:r w:rsidRPr="006C3E2E">
        <w:rPr>
          <w:rFonts w:ascii="Arial" w:hAnsi="Arial" w:cs="Arial"/>
          <w:sz w:val="21"/>
          <w:szCs w:val="21"/>
        </w:rPr>
        <w:t xml:space="preserve"> vía correo electrónico por parte de los emisores de los documentos a los Agentes de Aduanas</w:t>
      </w:r>
      <w:r w:rsidR="00175B81">
        <w:rPr>
          <w:rFonts w:ascii="Arial" w:hAnsi="Arial" w:cs="Arial"/>
          <w:sz w:val="21"/>
          <w:szCs w:val="21"/>
        </w:rPr>
        <w:t>, y</w:t>
      </w:r>
    </w:p>
    <w:p w:rsidR="006C3E2E" w:rsidRPr="006C3E2E" w:rsidRDefault="006C3E2E" w:rsidP="006C3E2E">
      <w:pPr>
        <w:ind w:firstLine="4678"/>
        <w:jc w:val="both"/>
        <w:rPr>
          <w:rFonts w:ascii="Arial" w:hAnsi="Arial" w:cs="Arial"/>
          <w:sz w:val="21"/>
          <w:szCs w:val="21"/>
        </w:rPr>
      </w:pPr>
    </w:p>
    <w:p w:rsidR="006602E2" w:rsidRDefault="00BB5947" w:rsidP="006602E2">
      <w:pPr>
        <w:shd w:val="clear" w:color="auto" w:fill="FFFFFF"/>
        <w:spacing w:before="225" w:after="225" w:line="240" w:lineRule="auto"/>
        <w:ind w:firstLine="4820"/>
        <w:jc w:val="both"/>
        <w:rPr>
          <w:rFonts w:ascii="Arial" w:eastAsia="Times New Roman" w:hAnsi="Arial" w:cs="Arial"/>
          <w:color w:val="333333"/>
          <w:sz w:val="21"/>
          <w:szCs w:val="21"/>
          <w:lang w:eastAsia="es-CL"/>
        </w:rPr>
      </w:pPr>
      <w:r w:rsidRPr="00BB5947">
        <w:rPr>
          <w:rFonts w:ascii="Arial" w:eastAsia="Times New Roman" w:hAnsi="Arial" w:cs="Arial"/>
          <w:b/>
          <w:bCs/>
          <w:color w:val="333333"/>
          <w:sz w:val="21"/>
          <w:szCs w:val="21"/>
          <w:bdr w:val="none" w:sz="0" w:space="0" w:color="auto" w:frame="1"/>
          <w:lang w:eastAsia="es-CL"/>
        </w:rPr>
        <w:t>TENIENDO PRESENTE:</w:t>
      </w:r>
      <w:r w:rsidRPr="00BB5947">
        <w:rPr>
          <w:rFonts w:ascii="Arial" w:eastAsia="Times New Roman" w:hAnsi="Arial" w:cs="Arial"/>
          <w:color w:val="333333"/>
          <w:sz w:val="21"/>
          <w:szCs w:val="21"/>
          <w:lang w:eastAsia="es-CL"/>
        </w:rPr>
        <w:t> </w:t>
      </w:r>
    </w:p>
    <w:p w:rsidR="00BB5947" w:rsidRPr="00BB5947" w:rsidRDefault="00BB5947" w:rsidP="006602E2">
      <w:pPr>
        <w:shd w:val="clear" w:color="auto" w:fill="FFFFFF"/>
        <w:spacing w:before="225" w:after="225" w:line="240" w:lineRule="auto"/>
        <w:ind w:firstLine="4820"/>
        <w:jc w:val="both"/>
        <w:rPr>
          <w:rFonts w:ascii="Arial" w:eastAsia="Times New Roman" w:hAnsi="Arial" w:cs="Arial"/>
          <w:color w:val="333333"/>
          <w:sz w:val="21"/>
          <w:szCs w:val="21"/>
          <w:lang w:eastAsia="es-CL"/>
        </w:rPr>
      </w:pPr>
      <w:r w:rsidRPr="00BB5947">
        <w:rPr>
          <w:rFonts w:ascii="Arial" w:eastAsia="Times New Roman" w:hAnsi="Arial" w:cs="Arial"/>
          <w:color w:val="333333"/>
          <w:sz w:val="21"/>
          <w:szCs w:val="21"/>
          <w:lang w:eastAsia="es-CL"/>
        </w:rPr>
        <w:t>Lo dispuesto en el artículo 4°, numerales 7° y 8° del D.F.L. N° 329 de 1979, del Ministerio de Hacienda, que aprueba la Ley Orgánica del Servicio, y la Resolución N° 1600 de 2008, de la Contraloría General de la República sobre la exención del trámite de Toma de Razón, dicto la siguiente:</w:t>
      </w:r>
    </w:p>
    <w:p w:rsidR="00175B81" w:rsidRDefault="00175B81" w:rsidP="00175B81">
      <w:pPr>
        <w:shd w:val="clear" w:color="auto" w:fill="FFFFFF"/>
        <w:spacing w:before="225" w:after="225" w:line="240" w:lineRule="auto"/>
        <w:jc w:val="center"/>
        <w:rPr>
          <w:rFonts w:ascii="Arial" w:eastAsia="Times New Roman" w:hAnsi="Arial" w:cs="Arial"/>
          <w:color w:val="333333"/>
          <w:sz w:val="21"/>
          <w:szCs w:val="21"/>
          <w:lang w:eastAsia="es-CL"/>
        </w:rPr>
      </w:pPr>
    </w:p>
    <w:p w:rsidR="00BB5947" w:rsidRPr="00BB5947" w:rsidRDefault="00BB5947" w:rsidP="00175B81">
      <w:pPr>
        <w:shd w:val="clear" w:color="auto" w:fill="FFFFFF"/>
        <w:spacing w:before="225" w:after="225" w:line="240" w:lineRule="auto"/>
        <w:jc w:val="center"/>
        <w:rPr>
          <w:rFonts w:ascii="Arial" w:eastAsia="Times New Roman" w:hAnsi="Arial" w:cs="Arial"/>
          <w:color w:val="333333"/>
          <w:sz w:val="21"/>
          <w:szCs w:val="21"/>
          <w:lang w:eastAsia="es-CL"/>
        </w:rPr>
      </w:pPr>
      <w:r w:rsidRPr="00BB5947">
        <w:rPr>
          <w:rFonts w:ascii="Arial" w:eastAsia="Times New Roman" w:hAnsi="Arial" w:cs="Arial"/>
          <w:b/>
          <w:bCs/>
          <w:color w:val="333333"/>
          <w:sz w:val="21"/>
          <w:szCs w:val="21"/>
          <w:bdr w:val="none" w:sz="0" w:space="0" w:color="auto" w:frame="1"/>
          <w:lang w:eastAsia="es-CL"/>
        </w:rPr>
        <w:t>RESOLUCIÓN:</w:t>
      </w:r>
    </w:p>
    <w:p w:rsidR="006602E2" w:rsidRPr="00F62982" w:rsidRDefault="006602E2" w:rsidP="00F62982">
      <w:pPr>
        <w:pStyle w:val="Prrafodelista"/>
        <w:numPr>
          <w:ilvl w:val="0"/>
          <w:numId w:val="1"/>
        </w:numPr>
        <w:shd w:val="clear" w:color="auto" w:fill="FFFFFF"/>
        <w:spacing w:before="225" w:after="225" w:line="240" w:lineRule="auto"/>
        <w:ind w:left="284" w:hanging="284"/>
        <w:jc w:val="both"/>
        <w:rPr>
          <w:rFonts w:ascii="Arial" w:eastAsia="Times New Roman" w:hAnsi="Arial" w:cs="Arial"/>
          <w:color w:val="333333"/>
          <w:sz w:val="21"/>
          <w:szCs w:val="21"/>
          <w:lang w:eastAsia="es-CL"/>
        </w:rPr>
      </w:pPr>
      <w:r w:rsidRPr="00F62982">
        <w:rPr>
          <w:rFonts w:ascii="Arial" w:eastAsia="Times New Roman" w:hAnsi="Arial" w:cs="Arial"/>
          <w:b/>
          <w:color w:val="333333"/>
          <w:sz w:val="21"/>
          <w:szCs w:val="21"/>
          <w:lang w:eastAsia="es-CL"/>
        </w:rPr>
        <w:t xml:space="preserve">MODIFÍQUESE </w:t>
      </w:r>
      <w:r w:rsidRPr="00F62982">
        <w:rPr>
          <w:rFonts w:ascii="Arial" w:eastAsia="Times New Roman" w:hAnsi="Arial" w:cs="Arial"/>
          <w:color w:val="333333"/>
          <w:sz w:val="21"/>
          <w:szCs w:val="21"/>
          <w:lang w:eastAsia="es-CL"/>
        </w:rPr>
        <w:t>como se indica el Capítulo IV del compendio de Normas Aduaneras:</w:t>
      </w:r>
    </w:p>
    <w:p w:rsidR="006602E2" w:rsidRPr="00F62982" w:rsidRDefault="006602E2" w:rsidP="00F62982">
      <w:pPr>
        <w:shd w:val="clear" w:color="auto" w:fill="FFFFFF"/>
        <w:spacing w:before="225" w:after="225" w:line="240" w:lineRule="auto"/>
        <w:ind w:left="284"/>
        <w:jc w:val="both"/>
        <w:rPr>
          <w:rFonts w:ascii="Arial" w:eastAsia="Times New Roman" w:hAnsi="Arial" w:cs="Arial"/>
          <w:color w:val="333333"/>
          <w:sz w:val="21"/>
          <w:szCs w:val="21"/>
          <w:lang w:eastAsia="es-CL"/>
        </w:rPr>
      </w:pPr>
      <w:r w:rsidRPr="00F62982">
        <w:rPr>
          <w:rFonts w:ascii="Arial" w:eastAsia="Times New Roman" w:hAnsi="Arial" w:cs="Arial"/>
          <w:color w:val="333333"/>
          <w:sz w:val="21"/>
          <w:szCs w:val="21"/>
          <w:lang w:eastAsia="es-CL"/>
        </w:rPr>
        <w:t xml:space="preserve">Sustitúyase la letra b) del numeral 8.5 por </w:t>
      </w:r>
      <w:r w:rsidR="00BF6891" w:rsidRPr="00F62982">
        <w:rPr>
          <w:rFonts w:ascii="Arial" w:eastAsia="Times New Roman" w:hAnsi="Arial" w:cs="Arial"/>
          <w:color w:val="333333"/>
          <w:sz w:val="21"/>
          <w:szCs w:val="21"/>
          <w:lang w:eastAsia="es-CL"/>
        </w:rPr>
        <w:t xml:space="preserve">la </w:t>
      </w:r>
      <w:r w:rsidRPr="00F62982">
        <w:rPr>
          <w:rFonts w:ascii="Arial" w:eastAsia="Times New Roman" w:hAnsi="Arial" w:cs="Arial"/>
          <w:color w:val="333333"/>
          <w:sz w:val="21"/>
          <w:szCs w:val="21"/>
          <w:lang w:eastAsia="es-CL"/>
        </w:rPr>
        <w:t>siguiente:</w:t>
      </w:r>
    </w:p>
    <w:p w:rsidR="000A04E1" w:rsidRDefault="006602E2" w:rsidP="00F62982">
      <w:pPr>
        <w:pStyle w:val="NormalWeb"/>
        <w:shd w:val="clear" w:color="auto" w:fill="FFFFFF"/>
        <w:spacing w:before="225" w:beforeAutospacing="0" w:after="225" w:afterAutospacing="0"/>
        <w:ind w:left="709" w:hanging="425"/>
        <w:jc w:val="both"/>
        <w:rPr>
          <w:rFonts w:ascii="Arial" w:hAnsi="Arial" w:cs="Arial"/>
          <w:color w:val="333333"/>
          <w:sz w:val="21"/>
          <w:szCs w:val="21"/>
        </w:rPr>
      </w:pPr>
      <w:r>
        <w:rPr>
          <w:rFonts w:ascii="Arial" w:hAnsi="Arial" w:cs="Arial"/>
          <w:color w:val="333333"/>
          <w:sz w:val="21"/>
          <w:szCs w:val="21"/>
        </w:rPr>
        <w:lastRenderedPageBreak/>
        <w:t> </w:t>
      </w:r>
      <w:r w:rsidR="00175B81">
        <w:rPr>
          <w:rFonts w:ascii="Arial" w:hAnsi="Arial" w:cs="Arial"/>
          <w:color w:val="333333"/>
          <w:sz w:val="21"/>
          <w:szCs w:val="21"/>
        </w:rPr>
        <w:t>“</w:t>
      </w:r>
      <w:r w:rsidR="000A04E1">
        <w:rPr>
          <w:rFonts w:ascii="Arial" w:hAnsi="Arial" w:cs="Arial"/>
          <w:color w:val="333333"/>
          <w:sz w:val="21"/>
          <w:szCs w:val="21"/>
        </w:rPr>
        <w:t xml:space="preserve">b) </w:t>
      </w:r>
      <w:r w:rsidR="00F62982">
        <w:rPr>
          <w:rFonts w:ascii="Arial" w:hAnsi="Arial" w:cs="Arial"/>
          <w:color w:val="333333"/>
          <w:sz w:val="21"/>
          <w:szCs w:val="21"/>
        </w:rPr>
        <w:tab/>
      </w:r>
      <w:r w:rsidR="000A04E1">
        <w:rPr>
          <w:rFonts w:ascii="Arial" w:hAnsi="Arial" w:cs="Arial"/>
          <w:color w:val="333333"/>
          <w:sz w:val="21"/>
          <w:szCs w:val="21"/>
        </w:rPr>
        <w:t>Copia no negociable del conocimiento de embarque o documento que haga sus veces. Este documento deberá ser puesto a disposición del Agente de Aduanas, por parte de su emisor, vía correo electrónico, a más tardar el tercer día hábil siguiente a su emisión.</w:t>
      </w:r>
    </w:p>
    <w:p w:rsidR="004A617C" w:rsidRPr="004A617C" w:rsidRDefault="000A04E1" w:rsidP="004A617C">
      <w:pPr>
        <w:pStyle w:val="NormalWeb"/>
        <w:shd w:val="clear" w:color="auto" w:fill="FFFFFF"/>
        <w:spacing w:before="225" w:beforeAutospacing="0" w:after="225" w:afterAutospacing="0"/>
        <w:ind w:left="709" w:hanging="1"/>
        <w:jc w:val="both"/>
        <w:rPr>
          <w:rFonts w:ascii="Arial" w:hAnsi="Arial" w:cs="Arial"/>
          <w:color w:val="2F5496" w:themeColor="accent5" w:themeShade="BF"/>
          <w:sz w:val="21"/>
          <w:szCs w:val="21"/>
        </w:rPr>
      </w:pPr>
      <w:r w:rsidRPr="004A617C">
        <w:rPr>
          <w:rFonts w:ascii="Arial" w:hAnsi="Arial" w:cs="Arial"/>
          <w:sz w:val="21"/>
          <w:szCs w:val="21"/>
        </w:rPr>
        <w:t xml:space="preserve">Para los efectos de esta entrega, </w:t>
      </w:r>
      <w:r w:rsidR="004A617C" w:rsidRPr="004A617C">
        <w:rPr>
          <w:rFonts w:ascii="Arial" w:hAnsi="Arial" w:cs="Arial"/>
          <w:sz w:val="21"/>
          <w:szCs w:val="21"/>
        </w:rPr>
        <w:t xml:space="preserve">los exportadores deberán informar al emisor del conocimiento de embarque el Agente de Aduanas que realizará el despacho, cuyo correo electrónico estará disponible en la página web de Aduanas, en la dirección </w:t>
      </w:r>
      <w:hyperlink r:id="rId6" w:history="1">
        <w:r w:rsidR="004A617C" w:rsidRPr="004A617C">
          <w:rPr>
            <w:rStyle w:val="Hipervnculo"/>
            <w:color w:val="2F5496" w:themeColor="accent5" w:themeShade="BF"/>
          </w:rPr>
          <w:t>http://www.aduana.cl/nomina-de-agentes/aduana/2013-04-16/185505.html</w:t>
        </w:r>
      </w:hyperlink>
      <w:r w:rsidR="004A617C" w:rsidRPr="004A617C">
        <w:rPr>
          <w:rFonts w:ascii="Arial" w:hAnsi="Arial" w:cs="Arial"/>
          <w:color w:val="2F5496" w:themeColor="accent5" w:themeShade="BF"/>
          <w:sz w:val="21"/>
          <w:szCs w:val="21"/>
        </w:rPr>
        <w:t xml:space="preserve"> </w:t>
      </w:r>
    </w:p>
    <w:p w:rsidR="004A617C" w:rsidRPr="004A617C" w:rsidRDefault="004A617C" w:rsidP="004A617C">
      <w:pPr>
        <w:pStyle w:val="Prrafodelista"/>
        <w:jc w:val="both"/>
        <w:rPr>
          <w:rFonts w:ascii="Arial" w:hAnsi="Arial" w:cs="Arial"/>
          <w:sz w:val="21"/>
          <w:szCs w:val="21"/>
        </w:rPr>
      </w:pPr>
      <w:r w:rsidRPr="004A617C">
        <w:rPr>
          <w:rFonts w:ascii="Arial" w:hAnsi="Arial" w:cs="Arial"/>
          <w:sz w:val="21"/>
          <w:szCs w:val="21"/>
        </w:rPr>
        <w:t>Será responsabilidad de cada agencia de aduanas mantener actualizada su dirección de correo electrónico</w:t>
      </w:r>
      <w:r w:rsidR="006C3E2E">
        <w:rPr>
          <w:rFonts w:ascii="Arial" w:hAnsi="Arial" w:cs="Arial"/>
          <w:sz w:val="21"/>
          <w:szCs w:val="21"/>
        </w:rPr>
        <w:t>,</w:t>
      </w:r>
      <w:r w:rsidRPr="004A617C">
        <w:rPr>
          <w:rFonts w:ascii="Arial" w:hAnsi="Arial" w:cs="Arial"/>
          <w:sz w:val="21"/>
          <w:szCs w:val="21"/>
        </w:rPr>
        <w:t xml:space="preserve"> notificando cualquier modificación al Departamento de Agentes Especiales de la Dirección Nacional.</w:t>
      </w:r>
    </w:p>
    <w:p w:rsidR="004A617C" w:rsidRPr="004A617C" w:rsidRDefault="004A617C" w:rsidP="004A617C">
      <w:pPr>
        <w:pStyle w:val="Prrafodelista"/>
        <w:jc w:val="both"/>
        <w:rPr>
          <w:rFonts w:ascii="Arial" w:hAnsi="Arial" w:cs="Arial"/>
          <w:sz w:val="21"/>
          <w:szCs w:val="21"/>
        </w:rPr>
      </w:pPr>
    </w:p>
    <w:p w:rsidR="000A04E1" w:rsidRDefault="000A04E1" w:rsidP="004A617C">
      <w:pPr>
        <w:pStyle w:val="Prrafodelista"/>
        <w:jc w:val="both"/>
        <w:rPr>
          <w:rFonts w:ascii="Arial" w:hAnsi="Arial" w:cs="Arial"/>
          <w:color w:val="333333"/>
          <w:sz w:val="21"/>
          <w:szCs w:val="21"/>
        </w:rPr>
      </w:pPr>
      <w:r>
        <w:rPr>
          <w:rFonts w:ascii="Arial" w:hAnsi="Arial" w:cs="Arial"/>
          <w:color w:val="333333"/>
          <w:sz w:val="21"/>
          <w:szCs w:val="21"/>
        </w:rPr>
        <w:t>El correo recibido por el Agente y el documento adjunto deberán ser archivados en la carpeta de despacho, constituyéndose como documentos de base de la operación.</w:t>
      </w:r>
    </w:p>
    <w:p w:rsidR="000A04E1" w:rsidRDefault="000A04E1" w:rsidP="00F62982">
      <w:pPr>
        <w:pStyle w:val="NormalWeb"/>
        <w:shd w:val="clear" w:color="auto" w:fill="FFFFFF"/>
        <w:spacing w:before="225" w:beforeAutospacing="0" w:after="225" w:afterAutospacing="0"/>
        <w:ind w:left="709" w:hanging="1"/>
        <w:jc w:val="both"/>
        <w:rPr>
          <w:rFonts w:ascii="Arial" w:hAnsi="Arial" w:cs="Arial"/>
          <w:color w:val="333333"/>
          <w:sz w:val="21"/>
          <w:szCs w:val="21"/>
        </w:rPr>
      </w:pPr>
      <w:r>
        <w:rPr>
          <w:rFonts w:ascii="Arial" w:hAnsi="Arial" w:cs="Arial"/>
          <w:color w:val="333333"/>
          <w:sz w:val="21"/>
          <w:szCs w:val="21"/>
        </w:rPr>
        <w:t xml:space="preserve">Sin perjuicio de lo anterior, para la legalización del DUS el Despachador podrá utilizar una copia en papel </w:t>
      </w:r>
      <w:r w:rsidR="00175B81">
        <w:rPr>
          <w:rFonts w:ascii="Arial" w:hAnsi="Arial" w:cs="Arial"/>
          <w:color w:val="333333"/>
          <w:sz w:val="21"/>
          <w:szCs w:val="21"/>
        </w:rPr>
        <w:t>n</w:t>
      </w:r>
      <w:r>
        <w:rPr>
          <w:rFonts w:ascii="Arial" w:hAnsi="Arial" w:cs="Arial"/>
          <w:color w:val="333333"/>
          <w:sz w:val="21"/>
          <w:szCs w:val="21"/>
        </w:rPr>
        <w:t xml:space="preserve">o </w:t>
      </w:r>
      <w:r w:rsidR="00175B81">
        <w:rPr>
          <w:rFonts w:ascii="Arial" w:hAnsi="Arial" w:cs="Arial"/>
          <w:color w:val="333333"/>
          <w:sz w:val="21"/>
          <w:szCs w:val="21"/>
        </w:rPr>
        <w:t>n</w:t>
      </w:r>
      <w:r>
        <w:rPr>
          <w:rFonts w:ascii="Arial" w:hAnsi="Arial" w:cs="Arial"/>
          <w:color w:val="333333"/>
          <w:sz w:val="21"/>
          <w:szCs w:val="21"/>
        </w:rPr>
        <w:t>egociable del Conocimiento de Embarque, provista por el emisor del documento de transporte en el mismo plazo antes señalado, la que deberá ser archivada en la carpeta de despacho.</w:t>
      </w:r>
      <w:r w:rsidR="00BF6891">
        <w:rPr>
          <w:rFonts w:ascii="Arial" w:hAnsi="Arial" w:cs="Arial"/>
          <w:color w:val="333333"/>
          <w:sz w:val="21"/>
          <w:szCs w:val="21"/>
        </w:rPr>
        <w:t xml:space="preserve"> </w:t>
      </w:r>
      <w:r>
        <w:rPr>
          <w:rFonts w:ascii="Arial" w:hAnsi="Arial" w:cs="Arial"/>
          <w:color w:val="333333"/>
          <w:sz w:val="21"/>
          <w:szCs w:val="21"/>
        </w:rPr>
        <w:t xml:space="preserve">En este último caso, los </w:t>
      </w:r>
      <w:r w:rsidR="004A617C">
        <w:rPr>
          <w:rFonts w:ascii="Arial" w:hAnsi="Arial" w:cs="Arial"/>
          <w:color w:val="333333"/>
          <w:sz w:val="21"/>
          <w:szCs w:val="21"/>
        </w:rPr>
        <w:t>A</w:t>
      </w:r>
      <w:r>
        <w:rPr>
          <w:rFonts w:ascii="Arial" w:hAnsi="Arial" w:cs="Arial"/>
          <w:color w:val="333333"/>
          <w:sz w:val="21"/>
          <w:szCs w:val="21"/>
        </w:rPr>
        <w:t xml:space="preserve">gentes de </w:t>
      </w:r>
      <w:r w:rsidR="004A617C">
        <w:rPr>
          <w:rFonts w:ascii="Arial" w:hAnsi="Arial" w:cs="Arial"/>
          <w:color w:val="333333"/>
          <w:sz w:val="21"/>
          <w:szCs w:val="21"/>
        </w:rPr>
        <w:t>A</w:t>
      </w:r>
      <w:r>
        <w:rPr>
          <w:rFonts w:ascii="Arial" w:hAnsi="Arial" w:cs="Arial"/>
          <w:color w:val="333333"/>
          <w:sz w:val="21"/>
          <w:szCs w:val="21"/>
        </w:rPr>
        <w:t xml:space="preserve">duana deberán retirar este documento desde las oficinas de los emisores de los documentos de transporte, </w:t>
      </w:r>
      <w:r w:rsidR="004A617C">
        <w:rPr>
          <w:rFonts w:ascii="Arial" w:hAnsi="Arial" w:cs="Arial"/>
          <w:color w:val="333333"/>
          <w:sz w:val="21"/>
          <w:szCs w:val="21"/>
        </w:rPr>
        <w:t xml:space="preserve">debiendo </w:t>
      </w:r>
      <w:r w:rsidR="004A617C">
        <w:rPr>
          <w:rFonts w:ascii="Arial" w:hAnsi="Arial" w:cs="Arial"/>
          <w:color w:val="333333"/>
          <w:sz w:val="21"/>
          <w:szCs w:val="21"/>
        </w:rPr>
        <w:lastRenderedPageBreak/>
        <w:t>e</w:t>
      </w:r>
      <w:r>
        <w:rPr>
          <w:rFonts w:ascii="Arial" w:hAnsi="Arial" w:cs="Arial"/>
          <w:color w:val="333333"/>
          <w:sz w:val="21"/>
          <w:szCs w:val="21"/>
        </w:rPr>
        <w:t>stos últimos informar claramente el horario de atención</w:t>
      </w:r>
      <w:r w:rsidR="004A617C">
        <w:rPr>
          <w:rFonts w:ascii="Arial" w:hAnsi="Arial" w:cs="Arial"/>
          <w:color w:val="333333"/>
          <w:sz w:val="21"/>
          <w:szCs w:val="21"/>
        </w:rPr>
        <w:t xml:space="preserve"> para estos efectos</w:t>
      </w:r>
      <w:r>
        <w:rPr>
          <w:rFonts w:ascii="Arial" w:hAnsi="Arial" w:cs="Arial"/>
          <w:color w:val="333333"/>
          <w:sz w:val="21"/>
          <w:szCs w:val="21"/>
        </w:rPr>
        <w:t xml:space="preserve">. </w:t>
      </w:r>
    </w:p>
    <w:p w:rsidR="004E6016" w:rsidRDefault="00175B81" w:rsidP="00F62982">
      <w:pPr>
        <w:pStyle w:val="NormalWeb"/>
        <w:shd w:val="clear" w:color="auto" w:fill="FFFFFF"/>
        <w:spacing w:before="225" w:beforeAutospacing="0" w:after="225" w:afterAutospacing="0"/>
        <w:ind w:left="709" w:hanging="1"/>
        <w:jc w:val="both"/>
        <w:rPr>
          <w:rFonts w:ascii="Arial" w:hAnsi="Arial" w:cs="Arial"/>
          <w:color w:val="333333"/>
          <w:sz w:val="21"/>
          <w:szCs w:val="21"/>
        </w:rPr>
      </w:pPr>
      <w:r>
        <w:rPr>
          <w:rFonts w:ascii="Arial" w:hAnsi="Arial" w:cs="Arial"/>
          <w:color w:val="333333"/>
          <w:sz w:val="21"/>
          <w:szCs w:val="21"/>
        </w:rPr>
        <w:t xml:space="preserve">La falta de entrega o disposición de este documento por parte de sus emisores hacia los Agentes de Aduana, será sancionada conforme a la ley”. </w:t>
      </w:r>
    </w:p>
    <w:p w:rsidR="00175B81" w:rsidRDefault="00175B81" w:rsidP="00F62982">
      <w:pPr>
        <w:pStyle w:val="NormalWeb"/>
        <w:shd w:val="clear" w:color="auto" w:fill="FFFFFF"/>
        <w:spacing w:before="225" w:beforeAutospacing="0" w:after="225" w:afterAutospacing="0"/>
        <w:ind w:left="709" w:hanging="1"/>
        <w:jc w:val="both"/>
        <w:rPr>
          <w:rFonts w:ascii="Arial" w:hAnsi="Arial" w:cs="Arial"/>
          <w:color w:val="333333"/>
          <w:sz w:val="21"/>
          <w:szCs w:val="21"/>
        </w:rPr>
      </w:pPr>
    </w:p>
    <w:p w:rsidR="00BB5947" w:rsidRPr="004E6016" w:rsidRDefault="004E6016" w:rsidP="004E6016">
      <w:pPr>
        <w:pStyle w:val="Prrafodelista"/>
        <w:numPr>
          <w:ilvl w:val="0"/>
          <w:numId w:val="1"/>
        </w:numPr>
        <w:shd w:val="clear" w:color="auto" w:fill="FFFFFF"/>
        <w:spacing w:before="225" w:after="225" w:line="240" w:lineRule="auto"/>
        <w:ind w:left="284" w:hanging="284"/>
        <w:jc w:val="both"/>
        <w:rPr>
          <w:rFonts w:ascii="Arial" w:eastAsia="Times New Roman" w:hAnsi="Arial" w:cs="Arial"/>
          <w:color w:val="333333"/>
          <w:sz w:val="21"/>
          <w:szCs w:val="21"/>
          <w:lang w:eastAsia="es-CL"/>
        </w:rPr>
      </w:pPr>
      <w:r>
        <w:rPr>
          <w:rFonts w:ascii="Arial" w:eastAsia="Times New Roman" w:hAnsi="Arial" w:cs="Arial"/>
          <w:color w:val="333333"/>
          <w:sz w:val="21"/>
          <w:szCs w:val="21"/>
          <w:lang w:eastAsia="es-CL"/>
        </w:rPr>
        <w:t xml:space="preserve">Estas instrucciones entrarán en vigencia a partir del </w:t>
      </w:r>
      <w:r w:rsidR="006C3E2E">
        <w:rPr>
          <w:rFonts w:ascii="Arial" w:eastAsia="Times New Roman" w:hAnsi="Arial" w:cs="Arial"/>
          <w:color w:val="333333"/>
          <w:sz w:val="21"/>
          <w:szCs w:val="21"/>
          <w:lang w:eastAsia="es-CL"/>
        </w:rPr>
        <w:t>2</w:t>
      </w:r>
      <w:r>
        <w:rPr>
          <w:rFonts w:ascii="Arial" w:eastAsia="Times New Roman" w:hAnsi="Arial" w:cs="Arial"/>
          <w:color w:val="333333"/>
          <w:sz w:val="21"/>
          <w:szCs w:val="21"/>
          <w:lang w:eastAsia="es-CL"/>
        </w:rPr>
        <w:t xml:space="preserve"> de </w:t>
      </w:r>
      <w:r w:rsidR="006C3E2E">
        <w:rPr>
          <w:rFonts w:ascii="Arial" w:eastAsia="Times New Roman" w:hAnsi="Arial" w:cs="Arial"/>
          <w:color w:val="333333"/>
          <w:sz w:val="21"/>
          <w:szCs w:val="21"/>
          <w:lang w:eastAsia="es-CL"/>
        </w:rPr>
        <w:t>enero de 2019</w:t>
      </w:r>
      <w:r>
        <w:rPr>
          <w:rFonts w:ascii="Arial" w:eastAsia="Times New Roman" w:hAnsi="Arial" w:cs="Arial"/>
          <w:color w:val="333333"/>
          <w:sz w:val="21"/>
          <w:szCs w:val="21"/>
          <w:lang w:eastAsia="es-CL"/>
        </w:rPr>
        <w:t>.</w:t>
      </w:r>
    </w:p>
    <w:p w:rsidR="00973DFE" w:rsidRDefault="00973DFE" w:rsidP="00272D5C">
      <w:pPr>
        <w:pStyle w:val="NormalWeb"/>
        <w:shd w:val="clear" w:color="auto" w:fill="FFFFFF"/>
        <w:spacing w:before="225" w:beforeAutospacing="0" w:after="225" w:afterAutospacing="0"/>
        <w:jc w:val="both"/>
        <w:rPr>
          <w:rFonts w:ascii="Arial" w:hAnsi="Arial" w:cs="Arial"/>
          <w:color w:val="333333"/>
          <w:sz w:val="21"/>
          <w:szCs w:val="21"/>
        </w:rPr>
      </w:pPr>
    </w:p>
    <w:p w:rsidR="00175B81" w:rsidRDefault="00175B81" w:rsidP="00272D5C">
      <w:pPr>
        <w:pStyle w:val="NormalWeb"/>
        <w:shd w:val="clear" w:color="auto" w:fill="FFFFFF"/>
        <w:spacing w:before="225" w:beforeAutospacing="0" w:after="225" w:afterAutospacing="0"/>
        <w:jc w:val="both"/>
        <w:rPr>
          <w:rFonts w:ascii="Arial" w:hAnsi="Arial" w:cs="Arial"/>
          <w:color w:val="333333"/>
          <w:sz w:val="21"/>
          <w:szCs w:val="21"/>
        </w:rPr>
      </w:pPr>
    </w:p>
    <w:p w:rsidR="004E6016" w:rsidRPr="004E6016" w:rsidRDefault="004E6016" w:rsidP="00272D5C">
      <w:pPr>
        <w:pStyle w:val="NormalWeb"/>
        <w:shd w:val="clear" w:color="auto" w:fill="FFFFFF"/>
        <w:spacing w:before="225" w:beforeAutospacing="0" w:after="225" w:afterAutospacing="0"/>
        <w:jc w:val="both"/>
        <w:rPr>
          <w:rFonts w:ascii="Arial" w:hAnsi="Arial" w:cs="Arial"/>
          <w:b/>
          <w:color w:val="333333"/>
          <w:sz w:val="21"/>
          <w:szCs w:val="21"/>
        </w:rPr>
      </w:pPr>
      <w:r w:rsidRPr="004E6016">
        <w:rPr>
          <w:rFonts w:ascii="Arial" w:hAnsi="Arial" w:cs="Arial"/>
          <w:b/>
          <w:color w:val="333333"/>
          <w:sz w:val="21"/>
          <w:szCs w:val="21"/>
        </w:rPr>
        <w:t>ANÓTESE, COMUNÍQUESE Y PUBLÍQUESE EN EXTRACTO EN EL DIARIO OFICIAL Y EN FORMA ÍNTEGRA EN LA PÁGINA WEB DEL SERVICIO DE ADUANAS</w:t>
      </w:r>
    </w:p>
    <w:p w:rsidR="00973DFE" w:rsidRDefault="00973DFE" w:rsidP="00272D5C">
      <w:pPr>
        <w:pStyle w:val="NormalWeb"/>
        <w:shd w:val="clear" w:color="auto" w:fill="FFFFFF"/>
        <w:spacing w:before="225" w:beforeAutospacing="0" w:after="225" w:afterAutospacing="0"/>
        <w:jc w:val="both"/>
        <w:rPr>
          <w:rFonts w:ascii="Arial" w:hAnsi="Arial" w:cs="Arial"/>
          <w:color w:val="333333"/>
          <w:sz w:val="21"/>
          <w:szCs w:val="21"/>
        </w:rPr>
      </w:pPr>
    </w:p>
    <w:p w:rsidR="004A617C" w:rsidRDefault="004A617C" w:rsidP="004A617C">
      <w:pPr>
        <w:rPr>
          <w:color w:val="000000"/>
        </w:rPr>
      </w:pPr>
    </w:p>
    <w:p w:rsidR="00175B81" w:rsidRDefault="00175B81" w:rsidP="004A617C">
      <w:pPr>
        <w:rPr>
          <w:color w:val="000000"/>
        </w:rPr>
      </w:pPr>
    </w:p>
    <w:p w:rsidR="00175B81" w:rsidRDefault="00175B81" w:rsidP="004A617C">
      <w:pPr>
        <w:rPr>
          <w:color w:val="000000"/>
        </w:rPr>
      </w:pPr>
    </w:p>
    <w:p w:rsidR="006C3E2E" w:rsidRPr="00175B81" w:rsidRDefault="00175B81" w:rsidP="00175B81">
      <w:pPr>
        <w:spacing w:after="0" w:line="240" w:lineRule="auto"/>
        <w:rPr>
          <w:color w:val="000000"/>
          <w:sz w:val="16"/>
          <w:szCs w:val="16"/>
        </w:rPr>
      </w:pPr>
      <w:r w:rsidRPr="00175B81">
        <w:rPr>
          <w:color w:val="000000"/>
          <w:sz w:val="16"/>
          <w:szCs w:val="16"/>
        </w:rPr>
        <w:t>GLH/KCI/MIG/PSS</w:t>
      </w:r>
    </w:p>
    <w:p w:rsidR="006C3E2E" w:rsidRPr="00175B81" w:rsidRDefault="006C3E2E" w:rsidP="00175B81">
      <w:pPr>
        <w:spacing w:after="0" w:line="240" w:lineRule="auto"/>
        <w:rPr>
          <w:color w:val="000000"/>
          <w:sz w:val="16"/>
          <w:szCs w:val="16"/>
        </w:rPr>
      </w:pPr>
      <w:r w:rsidRPr="00175B81">
        <w:rPr>
          <w:color w:val="000000"/>
          <w:sz w:val="16"/>
          <w:szCs w:val="16"/>
        </w:rPr>
        <w:t>Archivo: DUS, Legalización y copia B/L, octubre 2018</w:t>
      </w:r>
    </w:p>
    <w:p w:rsidR="006C3E2E" w:rsidRDefault="006C3E2E" w:rsidP="00175B81">
      <w:pPr>
        <w:spacing w:after="0" w:line="240" w:lineRule="auto"/>
        <w:rPr>
          <w:color w:val="000000"/>
        </w:rPr>
      </w:pPr>
    </w:p>
    <w:p w:rsidR="006C3E2E" w:rsidRDefault="006C3E2E" w:rsidP="00175B81">
      <w:pPr>
        <w:spacing w:after="0" w:line="240" w:lineRule="auto"/>
        <w:rPr>
          <w:color w:val="000000"/>
        </w:rPr>
      </w:pPr>
    </w:p>
    <w:sectPr w:rsidR="006C3E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669A5"/>
    <w:multiLevelType w:val="hybridMultilevel"/>
    <w:tmpl w:val="782222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B3A3199"/>
    <w:multiLevelType w:val="hybridMultilevel"/>
    <w:tmpl w:val="0D50201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C"/>
    <w:rsid w:val="000A04E1"/>
    <w:rsid w:val="00121AA4"/>
    <w:rsid w:val="00175B81"/>
    <w:rsid w:val="00214987"/>
    <w:rsid w:val="00272D5C"/>
    <w:rsid w:val="002E47C1"/>
    <w:rsid w:val="004739BF"/>
    <w:rsid w:val="004A617C"/>
    <w:rsid w:val="004A6983"/>
    <w:rsid w:val="004E6016"/>
    <w:rsid w:val="00500316"/>
    <w:rsid w:val="005462F0"/>
    <w:rsid w:val="00636208"/>
    <w:rsid w:val="006602E2"/>
    <w:rsid w:val="006C3E2E"/>
    <w:rsid w:val="00973DFE"/>
    <w:rsid w:val="00AF0379"/>
    <w:rsid w:val="00BB5947"/>
    <w:rsid w:val="00BF6891"/>
    <w:rsid w:val="00E56EE6"/>
    <w:rsid w:val="00F62982"/>
    <w:rsid w:val="00F63161"/>
    <w:rsid w:val="00FE32D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B6F4C-D175-4CF4-A249-C00EB743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72D5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B5947"/>
    <w:rPr>
      <w:b/>
      <w:bCs/>
    </w:rPr>
  </w:style>
  <w:style w:type="character" w:styleId="nfasis">
    <w:name w:val="Emphasis"/>
    <w:basedOn w:val="Fuentedeprrafopredeter"/>
    <w:uiPriority w:val="20"/>
    <w:qFormat/>
    <w:rsid w:val="00BB5947"/>
    <w:rPr>
      <w:i/>
      <w:iCs/>
    </w:rPr>
  </w:style>
  <w:style w:type="paragraph" w:styleId="Prrafodelista">
    <w:name w:val="List Paragraph"/>
    <w:basedOn w:val="Normal"/>
    <w:link w:val="PrrafodelistaCar"/>
    <w:uiPriority w:val="34"/>
    <w:qFormat/>
    <w:rsid w:val="006602E2"/>
    <w:pPr>
      <w:ind w:left="720"/>
      <w:contextualSpacing/>
    </w:pPr>
  </w:style>
  <w:style w:type="character" w:styleId="Hipervnculo">
    <w:name w:val="Hyperlink"/>
    <w:basedOn w:val="Fuentedeprrafopredeter"/>
    <w:uiPriority w:val="99"/>
    <w:semiHidden/>
    <w:unhideWhenUsed/>
    <w:rsid w:val="004A617C"/>
    <w:rPr>
      <w:color w:val="0563C1"/>
      <w:u w:val="single"/>
    </w:rPr>
  </w:style>
  <w:style w:type="character" w:customStyle="1" w:styleId="PrrafodelistaCar">
    <w:name w:val="Párrafo de lista Car"/>
    <w:basedOn w:val="Fuentedeprrafopredeter"/>
    <w:link w:val="Prrafodelista"/>
    <w:uiPriority w:val="34"/>
    <w:locked/>
    <w:rsid w:val="004A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1820">
      <w:bodyDiv w:val="1"/>
      <w:marLeft w:val="0"/>
      <w:marRight w:val="0"/>
      <w:marTop w:val="0"/>
      <w:marBottom w:val="0"/>
      <w:divBdr>
        <w:top w:val="none" w:sz="0" w:space="0" w:color="auto"/>
        <w:left w:val="none" w:sz="0" w:space="0" w:color="auto"/>
        <w:bottom w:val="none" w:sz="0" w:space="0" w:color="auto"/>
        <w:right w:val="none" w:sz="0" w:space="0" w:color="auto"/>
      </w:divBdr>
    </w:div>
    <w:div w:id="1089428781">
      <w:bodyDiv w:val="1"/>
      <w:marLeft w:val="0"/>
      <w:marRight w:val="0"/>
      <w:marTop w:val="0"/>
      <w:marBottom w:val="0"/>
      <w:divBdr>
        <w:top w:val="none" w:sz="0" w:space="0" w:color="auto"/>
        <w:left w:val="none" w:sz="0" w:space="0" w:color="auto"/>
        <w:bottom w:val="none" w:sz="0" w:space="0" w:color="auto"/>
        <w:right w:val="none" w:sz="0" w:space="0" w:color="auto"/>
      </w:divBdr>
    </w:div>
    <w:div w:id="1403796356">
      <w:bodyDiv w:val="1"/>
      <w:marLeft w:val="0"/>
      <w:marRight w:val="0"/>
      <w:marTop w:val="0"/>
      <w:marBottom w:val="0"/>
      <w:divBdr>
        <w:top w:val="none" w:sz="0" w:space="0" w:color="auto"/>
        <w:left w:val="none" w:sz="0" w:space="0" w:color="auto"/>
        <w:bottom w:val="none" w:sz="0" w:space="0" w:color="auto"/>
        <w:right w:val="none" w:sz="0" w:space="0" w:color="auto"/>
      </w:divBdr>
    </w:div>
    <w:div w:id="1506893597">
      <w:bodyDiv w:val="1"/>
      <w:marLeft w:val="0"/>
      <w:marRight w:val="0"/>
      <w:marTop w:val="0"/>
      <w:marBottom w:val="0"/>
      <w:divBdr>
        <w:top w:val="none" w:sz="0" w:space="0" w:color="auto"/>
        <w:left w:val="none" w:sz="0" w:space="0" w:color="auto"/>
        <w:bottom w:val="none" w:sz="0" w:space="0" w:color="auto"/>
        <w:right w:val="none" w:sz="0" w:space="0" w:color="auto"/>
      </w:divBdr>
    </w:div>
    <w:div w:id="20953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uana.cl/nomina-de-agentes/aduana/2013-04-16/185505.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3240</Characters>
  <Application>Microsoft Office Word</Application>
  <DocSecurity>4</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Soto Sepulveda</dc:creator>
  <cp:keywords/>
  <dc:description/>
  <cp:lastModifiedBy>Leticia Baquedano Duran</cp:lastModifiedBy>
  <cp:revision>2</cp:revision>
  <dcterms:created xsi:type="dcterms:W3CDTF">2018-11-06T15:51:00Z</dcterms:created>
  <dcterms:modified xsi:type="dcterms:W3CDTF">2018-11-06T15:51:00Z</dcterms:modified>
</cp:coreProperties>
</file>