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0A" w:rsidRDefault="00F9370A" w:rsidP="00F9370A">
      <w:pPr>
        <w:spacing w:after="0"/>
        <w:jc w:val="both"/>
        <w:rPr>
          <w:rFonts w:asciiTheme="minorHAnsi" w:hAnsiTheme="minorHAnsi" w:cs="Arial"/>
        </w:rPr>
      </w:pPr>
      <w:r w:rsidRPr="00F9370A">
        <w:rPr>
          <w:rFonts w:asciiTheme="minorHAnsi" w:hAnsiTheme="minorHAnsi" w:cs="Arial"/>
        </w:rPr>
        <w:tab/>
      </w:r>
      <w:r w:rsidRPr="00F9370A">
        <w:rPr>
          <w:rFonts w:asciiTheme="minorHAnsi" w:hAnsiTheme="minorHAnsi" w:cs="Arial"/>
        </w:rPr>
        <w:tab/>
      </w:r>
      <w:r w:rsidRPr="00F9370A">
        <w:rPr>
          <w:rFonts w:asciiTheme="minorHAnsi" w:hAnsiTheme="minorHAnsi" w:cs="Arial"/>
        </w:rPr>
        <w:tab/>
      </w:r>
    </w:p>
    <w:p w:rsidR="00F9370A" w:rsidRDefault="00F9370A" w:rsidP="00F9370A">
      <w:pPr>
        <w:spacing w:after="0"/>
        <w:ind w:left="2835"/>
        <w:jc w:val="both"/>
        <w:rPr>
          <w:rFonts w:asciiTheme="minorHAnsi" w:hAnsiTheme="minorHAnsi" w:cs="Arial"/>
          <w:b/>
        </w:rPr>
      </w:pPr>
      <w:r w:rsidRPr="00F9370A">
        <w:rPr>
          <w:rFonts w:asciiTheme="minorHAnsi" w:hAnsiTheme="minorHAnsi" w:cs="Arial"/>
          <w:b/>
        </w:rPr>
        <w:t xml:space="preserve">RESOLUCION EXENTA N°   </w:t>
      </w:r>
    </w:p>
    <w:p w:rsidR="00F9370A" w:rsidRPr="00AF2479" w:rsidRDefault="00F9370A" w:rsidP="00F9370A">
      <w:pPr>
        <w:spacing w:after="0"/>
        <w:ind w:left="2835"/>
        <w:jc w:val="both"/>
        <w:rPr>
          <w:rFonts w:asciiTheme="minorHAnsi" w:hAnsiTheme="minorHAnsi" w:cs="Arial"/>
          <w:b/>
          <w:color w:val="1F497D" w:themeColor="text2"/>
        </w:rPr>
      </w:pPr>
    </w:p>
    <w:p w:rsidR="00F9370A" w:rsidRPr="00F9370A" w:rsidRDefault="00F9370A" w:rsidP="00F9370A">
      <w:pPr>
        <w:spacing w:after="0"/>
        <w:ind w:left="2835"/>
        <w:jc w:val="both"/>
        <w:rPr>
          <w:rFonts w:asciiTheme="minorHAnsi" w:hAnsiTheme="minorHAnsi" w:cs="Arial"/>
          <w:b/>
        </w:rPr>
      </w:pPr>
      <w:r>
        <w:rPr>
          <w:rFonts w:asciiTheme="minorHAnsi" w:hAnsiTheme="minorHAnsi" w:cs="Arial"/>
          <w:b/>
        </w:rPr>
        <w:t>V</w:t>
      </w:r>
      <w:r w:rsidRPr="00F9370A">
        <w:rPr>
          <w:rFonts w:asciiTheme="minorHAnsi" w:hAnsiTheme="minorHAnsi" w:cs="Arial"/>
          <w:b/>
        </w:rPr>
        <w:t>ALPARAISO,</w:t>
      </w:r>
    </w:p>
    <w:p w:rsidR="00F9370A" w:rsidRPr="00F9370A" w:rsidRDefault="00F9370A" w:rsidP="00F9370A">
      <w:pPr>
        <w:spacing w:after="0"/>
        <w:ind w:left="2835"/>
        <w:jc w:val="both"/>
        <w:rPr>
          <w:rFonts w:asciiTheme="minorHAnsi" w:hAnsiTheme="minorHAnsi" w:cs="Arial"/>
        </w:rPr>
      </w:pPr>
    </w:p>
    <w:p w:rsidR="00421052" w:rsidRPr="00F9370A" w:rsidRDefault="00421052" w:rsidP="00F9370A">
      <w:pPr>
        <w:spacing w:after="0"/>
        <w:jc w:val="both"/>
        <w:rPr>
          <w:rFonts w:asciiTheme="minorHAnsi" w:hAnsiTheme="minorHAnsi" w:cs="Arial"/>
        </w:rPr>
      </w:pPr>
    </w:p>
    <w:p w:rsidR="00421052" w:rsidRDefault="00421052" w:rsidP="00F9370A">
      <w:pPr>
        <w:spacing w:after="0"/>
        <w:jc w:val="both"/>
        <w:rPr>
          <w:rFonts w:asciiTheme="minorHAnsi" w:hAnsiTheme="minorHAnsi" w:cs="Arial"/>
        </w:rPr>
      </w:pPr>
      <w:r w:rsidRPr="00AF2479">
        <w:rPr>
          <w:rFonts w:asciiTheme="minorHAnsi" w:hAnsiTheme="minorHAnsi" w:cs="Arial"/>
        </w:rPr>
        <w:tab/>
      </w:r>
      <w:r w:rsidRPr="00AF2479">
        <w:rPr>
          <w:rFonts w:asciiTheme="minorHAnsi" w:hAnsiTheme="minorHAnsi" w:cs="Arial"/>
        </w:rPr>
        <w:tab/>
      </w:r>
      <w:r w:rsidRPr="00AF2479">
        <w:rPr>
          <w:rFonts w:asciiTheme="minorHAnsi" w:hAnsiTheme="minorHAnsi" w:cs="Arial"/>
        </w:rPr>
        <w:tab/>
      </w:r>
      <w:r w:rsidRPr="00AF2479">
        <w:rPr>
          <w:rFonts w:asciiTheme="minorHAnsi" w:hAnsiTheme="minorHAnsi" w:cs="Arial"/>
        </w:rPr>
        <w:tab/>
      </w:r>
      <w:r w:rsidRPr="00AF2479">
        <w:rPr>
          <w:rFonts w:asciiTheme="minorHAnsi" w:hAnsiTheme="minorHAnsi" w:cs="Arial"/>
          <w:b/>
        </w:rPr>
        <w:t>VISTOS:</w:t>
      </w:r>
      <w:r w:rsidRPr="00AF2479">
        <w:rPr>
          <w:rFonts w:asciiTheme="minorHAnsi" w:hAnsiTheme="minorHAnsi" w:cs="Arial"/>
        </w:rPr>
        <w:t xml:space="preserve"> Lo establecido en los </w:t>
      </w:r>
      <w:r w:rsidR="00940443" w:rsidRPr="00AF2479">
        <w:rPr>
          <w:rFonts w:asciiTheme="minorHAnsi" w:hAnsiTheme="minorHAnsi" w:cs="Arial"/>
        </w:rPr>
        <w:t>numerales 3 y 6</w:t>
      </w:r>
      <w:r w:rsidR="00AF2479" w:rsidRPr="00AF2479">
        <w:rPr>
          <w:rFonts w:asciiTheme="minorHAnsi" w:hAnsiTheme="minorHAnsi" w:cs="Arial"/>
        </w:rPr>
        <w:t>,</w:t>
      </w:r>
      <w:r w:rsidR="00940443" w:rsidRPr="00AF2479">
        <w:rPr>
          <w:rFonts w:asciiTheme="minorHAnsi" w:hAnsiTheme="minorHAnsi" w:cs="Arial"/>
        </w:rPr>
        <w:t xml:space="preserve"> del Artículo 11</w:t>
      </w:r>
      <w:r w:rsidR="00AF2479" w:rsidRPr="00AF2479">
        <w:rPr>
          <w:rFonts w:asciiTheme="minorHAnsi" w:hAnsiTheme="minorHAnsi" w:cs="Arial"/>
        </w:rPr>
        <w:t>,</w:t>
      </w:r>
      <w:r w:rsidR="00AF2479">
        <w:rPr>
          <w:rFonts w:asciiTheme="minorHAnsi" w:hAnsiTheme="minorHAnsi" w:cs="Arial"/>
        </w:rPr>
        <w:t xml:space="preserve"> de la l</w:t>
      </w:r>
      <w:r w:rsidR="00940443" w:rsidRPr="00AF2479">
        <w:rPr>
          <w:rFonts w:asciiTheme="minorHAnsi" w:hAnsiTheme="minorHAnsi" w:cs="Arial"/>
        </w:rPr>
        <w:t>ey</w:t>
      </w:r>
      <w:r w:rsidR="00AF2479" w:rsidRPr="00AF2479">
        <w:rPr>
          <w:rFonts w:asciiTheme="minorHAnsi" w:hAnsiTheme="minorHAnsi" w:cs="Arial"/>
        </w:rPr>
        <w:t xml:space="preserve"> N°</w:t>
      </w:r>
      <w:r w:rsidR="00940443" w:rsidRPr="00AF2479">
        <w:rPr>
          <w:rFonts w:asciiTheme="minorHAnsi" w:hAnsiTheme="minorHAnsi" w:cs="Arial"/>
        </w:rPr>
        <w:t xml:space="preserve"> 20.780</w:t>
      </w:r>
      <w:r w:rsidR="00AF2479">
        <w:rPr>
          <w:rFonts w:asciiTheme="minorHAnsi" w:hAnsiTheme="minorHAnsi" w:cs="Arial"/>
        </w:rPr>
        <w:t>,</w:t>
      </w:r>
      <w:r w:rsidR="00940443">
        <w:rPr>
          <w:rFonts w:asciiTheme="minorHAnsi" w:hAnsiTheme="minorHAnsi" w:cs="Arial"/>
        </w:rPr>
        <w:t xml:space="preserve"> sobre Reforma Tributaria.</w:t>
      </w:r>
    </w:p>
    <w:p w:rsidR="00F9370A" w:rsidRDefault="00F9370A" w:rsidP="00F9370A">
      <w:pPr>
        <w:spacing w:after="0"/>
        <w:jc w:val="both"/>
        <w:rPr>
          <w:rFonts w:asciiTheme="minorHAnsi" w:hAnsiTheme="minorHAnsi" w:cs="Arial"/>
        </w:rPr>
      </w:pPr>
    </w:p>
    <w:p w:rsidR="00421052" w:rsidRDefault="00421052" w:rsidP="00F9370A">
      <w:pPr>
        <w:spacing w:after="0"/>
        <w:ind w:firstLine="2835"/>
        <w:jc w:val="both"/>
        <w:rPr>
          <w:rFonts w:asciiTheme="minorHAnsi" w:hAnsiTheme="minorHAnsi" w:cs="Arial"/>
        </w:rPr>
      </w:pPr>
      <w:r w:rsidRPr="00421052">
        <w:rPr>
          <w:rFonts w:asciiTheme="minorHAnsi" w:hAnsiTheme="minorHAnsi" w:cs="Arial"/>
        </w:rPr>
        <w:t xml:space="preserve"> El Compendio de Normas Aduaneras</w:t>
      </w:r>
      <w:r w:rsidRPr="00AF2479">
        <w:rPr>
          <w:rFonts w:asciiTheme="minorHAnsi" w:hAnsiTheme="minorHAnsi" w:cs="Arial"/>
          <w:color w:val="0070C0"/>
        </w:rPr>
        <w:t xml:space="preserve">, </w:t>
      </w:r>
      <w:r w:rsidR="00AF2479" w:rsidRPr="00AF2479">
        <w:rPr>
          <w:rFonts w:asciiTheme="minorHAnsi" w:hAnsiTheme="minorHAnsi" w:cs="Arial"/>
        </w:rPr>
        <w:t>aprobado</w:t>
      </w:r>
      <w:r w:rsidR="00AF2479">
        <w:rPr>
          <w:rFonts w:asciiTheme="minorHAnsi" w:hAnsiTheme="minorHAnsi" w:cs="Arial"/>
        </w:rPr>
        <w:t xml:space="preserve"> </w:t>
      </w:r>
      <w:r>
        <w:rPr>
          <w:rFonts w:asciiTheme="minorHAnsi" w:hAnsiTheme="minorHAnsi" w:cs="Arial"/>
        </w:rPr>
        <w:t>por</w:t>
      </w:r>
      <w:r w:rsidRPr="00421052">
        <w:rPr>
          <w:rFonts w:asciiTheme="minorHAnsi" w:hAnsiTheme="minorHAnsi" w:cs="Arial"/>
        </w:rPr>
        <w:t xml:space="preserve"> </w:t>
      </w:r>
      <w:r w:rsidR="00AF2479">
        <w:rPr>
          <w:rFonts w:asciiTheme="minorHAnsi" w:hAnsiTheme="minorHAnsi" w:cs="Arial"/>
        </w:rPr>
        <w:t xml:space="preserve">la </w:t>
      </w:r>
      <w:r w:rsidRPr="00421052">
        <w:rPr>
          <w:rFonts w:asciiTheme="minorHAnsi" w:hAnsiTheme="minorHAnsi" w:cs="Arial"/>
        </w:rPr>
        <w:t xml:space="preserve">Resolución N° 1.300, de </w:t>
      </w:r>
      <w:r w:rsidR="003E5482">
        <w:rPr>
          <w:rFonts w:asciiTheme="minorHAnsi" w:hAnsiTheme="minorHAnsi" w:cs="Arial"/>
        </w:rPr>
        <w:t>1</w:t>
      </w:r>
      <w:r w:rsidRPr="00421052">
        <w:rPr>
          <w:rFonts w:asciiTheme="minorHAnsi" w:hAnsiTheme="minorHAnsi" w:cs="Arial"/>
        </w:rPr>
        <w:t>4 de marzo de 2006;</w:t>
      </w:r>
    </w:p>
    <w:p w:rsidR="00F9370A" w:rsidRPr="00421052" w:rsidRDefault="00F9370A" w:rsidP="00F9370A">
      <w:pPr>
        <w:spacing w:after="0"/>
        <w:ind w:firstLine="2835"/>
        <w:jc w:val="both"/>
        <w:rPr>
          <w:rFonts w:asciiTheme="minorHAnsi" w:hAnsiTheme="minorHAnsi" w:cs="Arial"/>
        </w:rPr>
      </w:pPr>
    </w:p>
    <w:p w:rsidR="00421052" w:rsidRDefault="00421052" w:rsidP="00F9370A">
      <w:pPr>
        <w:spacing w:after="0"/>
        <w:jc w:val="both"/>
        <w:rPr>
          <w:rFonts w:asciiTheme="minorHAnsi" w:hAnsiTheme="minorHAnsi" w:cs="Arial"/>
        </w:rPr>
      </w:pP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b/>
        </w:rPr>
        <w:t>CONSIDERANDO:</w:t>
      </w:r>
      <w:r w:rsidRPr="00421052">
        <w:rPr>
          <w:rFonts w:asciiTheme="minorHAnsi" w:hAnsiTheme="minorHAnsi" w:cs="Arial"/>
          <w:b/>
        </w:rPr>
        <w:tab/>
      </w:r>
      <w:r w:rsidRPr="00421052">
        <w:rPr>
          <w:rFonts w:asciiTheme="minorHAnsi" w:hAnsiTheme="minorHAnsi" w:cs="Arial"/>
        </w:rPr>
        <w:t xml:space="preserve">La necesidad de adecuar las disposiciones </w:t>
      </w:r>
      <w:r w:rsidR="00AF2479">
        <w:rPr>
          <w:rFonts w:asciiTheme="minorHAnsi" w:hAnsiTheme="minorHAnsi" w:cs="Arial"/>
        </w:rPr>
        <w:t xml:space="preserve">del </w:t>
      </w:r>
      <w:r w:rsidRPr="00421052">
        <w:rPr>
          <w:rFonts w:asciiTheme="minorHAnsi" w:hAnsiTheme="minorHAnsi" w:cs="Arial"/>
        </w:rPr>
        <w:t>Compendio</w:t>
      </w:r>
      <w:r w:rsidR="00940443">
        <w:rPr>
          <w:rFonts w:asciiTheme="minorHAnsi" w:hAnsiTheme="minorHAnsi" w:cs="Arial"/>
        </w:rPr>
        <w:t xml:space="preserve"> </w:t>
      </w:r>
      <w:r w:rsidR="00AF2479">
        <w:rPr>
          <w:rFonts w:asciiTheme="minorHAnsi" w:hAnsiTheme="minorHAnsi" w:cs="Arial"/>
        </w:rPr>
        <w:t xml:space="preserve">antes citado a las normas establecidas en los artículos 3 y 6, del artículo 11, de la ley N° 20.780, relativa a la obligación de </w:t>
      </w:r>
      <w:r w:rsidR="00940443">
        <w:rPr>
          <w:rFonts w:asciiTheme="minorHAnsi" w:hAnsiTheme="minorHAnsi" w:cs="Arial"/>
        </w:rPr>
        <w:t xml:space="preserve">informar </w:t>
      </w:r>
      <w:r w:rsidR="00AF2479">
        <w:rPr>
          <w:rFonts w:asciiTheme="minorHAnsi" w:hAnsiTheme="minorHAnsi" w:cs="Arial"/>
        </w:rPr>
        <w:t xml:space="preserve"> sobre</w:t>
      </w:r>
      <w:r w:rsidR="00C82B7B">
        <w:rPr>
          <w:rFonts w:asciiTheme="minorHAnsi" w:hAnsiTheme="minorHAnsi" w:cs="Arial"/>
        </w:rPr>
        <w:t xml:space="preserve"> </w:t>
      </w:r>
      <w:r w:rsidR="00940443">
        <w:rPr>
          <w:rFonts w:asciiTheme="minorHAnsi" w:hAnsiTheme="minorHAnsi" w:cs="Arial"/>
        </w:rPr>
        <w:t xml:space="preserve">los valores definitivos de las operaciones de exportación </w:t>
      </w:r>
      <w:r w:rsidR="00AF2479">
        <w:rPr>
          <w:rFonts w:asciiTheme="minorHAnsi" w:hAnsiTheme="minorHAnsi" w:cs="Arial"/>
        </w:rPr>
        <w:t xml:space="preserve">bajo la modalidad de venta </w:t>
      </w:r>
      <w:r w:rsidR="00940443">
        <w:rPr>
          <w:rFonts w:asciiTheme="minorHAnsi" w:hAnsiTheme="minorHAnsi" w:cs="Arial"/>
        </w:rPr>
        <w:t>distintas</w:t>
      </w:r>
      <w:r w:rsidR="00EA2F38">
        <w:rPr>
          <w:rFonts w:asciiTheme="minorHAnsi" w:hAnsiTheme="minorHAnsi" w:cs="Arial"/>
        </w:rPr>
        <w:t xml:space="preserve"> de </w:t>
      </w:r>
      <w:r w:rsidR="00940443">
        <w:rPr>
          <w:rFonts w:asciiTheme="minorHAnsi" w:hAnsiTheme="minorHAnsi" w:cs="Arial"/>
        </w:rPr>
        <w:t xml:space="preserve"> a firme y</w:t>
      </w:r>
      <w:r w:rsidR="00AF2479">
        <w:rPr>
          <w:rFonts w:asciiTheme="minorHAnsi" w:hAnsiTheme="minorHAnsi" w:cs="Arial"/>
        </w:rPr>
        <w:t xml:space="preserve"> </w:t>
      </w:r>
      <w:r w:rsidR="00940443" w:rsidRPr="00AF2479">
        <w:rPr>
          <w:rFonts w:asciiTheme="minorHAnsi" w:hAnsiTheme="minorHAnsi" w:cs="Arial"/>
          <w:strike/>
        </w:rPr>
        <w:t xml:space="preserve"> </w:t>
      </w:r>
      <w:r w:rsidR="00C82B7B" w:rsidRPr="00C82B7B">
        <w:rPr>
          <w:rFonts w:asciiTheme="minorHAnsi" w:hAnsiTheme="minorHAnsi" w:cs="Arial"/>
        </w:rPr>
        <w:t>a</w:t>
      </w:r>
      <w:r w:rsidRPr="00C82B7B">
        <w:rPr>
          <w:rFonts w:asciiTheme="minorHAnsi" w:hAnsiTheme="minorHAnsi" w:cs="Arial"/>
        </w:rPr>
        <w:t xml:space="preserve"> </w:t>
      </w:r>
      <w:r w:rsidRPr="00421052">
        <w:rPr>
          <w:rFonts w:asciiTheme="minorHAnsi" w:hAnsiTheme="minorHAnsi" w:cs="Arial"/>
        </w:rPr>
        <w:t>las prácticas comerciales existentes;</w:t>
      </w:r>
      <w:r w:rsidR="00940443">
        <w:rPr>
          <w:rFonts w:asciiTheme="minorHAnsi" w:hAnsiTheme="minorHAnsi" w:cs="Arial"/>
        </w:rPr>
        <w:t xml:space="preserve"> </w:t>
      </w:r>
    </w:p>
    <w:p w:rsidR="00F9370A" w:rsidRPr="00421052" w:rsidRDefault="00F9370A" w:rsidP="00F9370A">
      <w:pPr>
        <w:spacing w:after="0"/>
        <w:jc w:val="both"/>
        <w:rPr>
          <w:rFonts w:asciiTheme="minorHAnsi" w:hAnsiTheme="minorHAnsi" w:cs="Arial"/>
        </w:rPr>
      </w:pPr>
    </w:p>
    <w:p w:rsidR="00421052" w:rsidRDefault="00421052" w:rsidP="00F9370A">
      <w:pPr>
        <w:spacing w:after="0"/>
        <w:jc w:val="both"/>
        <w:rPr>
          <w:rFonts w:asciiTheme="minorHAnsi" w:hAnsiTheme="minorHAnsi" w:cs="Arial"/>
          <w:strike/>
          <w:color w:val="FF0000"/>
        </w:rPr>
      </w:pP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rPr>
        <w:tab/>
        <w:t>Que, asimismo, para</w:t>
      </w:r>
      <w:r w:rsidR="00AF2479">
        <w:rPr>
          <w:rFonts w:asciiTheme="minorHAnsi" w:hAnsiTheme="minorHAnsi" w:cs="Arial"/>
        </w:rPr>
        <w:t xml:space="preserve"> el </w:t>
      </w:r>
      <w:r w:rsidRPr="00421052">
        <w:rPr>
          <w:rFonts w:asciiTheme="minorHAnsi" w:hAnsiTheme="minorHAnsi" w:cs="Arial"/>
        </w:rPr>
        <w:t xml:space="preserve"> análisis </w:t>
      </w:r>
      <w:r>
        <w:rPr>
          <w:rFonts w:asciiTheme="minorHAnsi" w:hAnsiTheme="minorHAnsi" w:cs="Arial"/>
        </w:rPr>
        <w:t xml:space="preserve">de comportamiento de los exportadores, las </w:t>
      </w:r>
      <w:r w:rsidR="00AF2479">
        <w:rPr>
          <w:rFonts w:asciiTheme="minorHAnsi" w:hAnsiTheme="minorHAnsi" w:cs="Arial"/>
        </w:rPr>
        <w:t xml:space="preserve">funciones </w:t>
      </w:r>
      <w:r>
        <w:rPr>
          <w:rFonts w:asciiTheme="minorHAnsi" w:hAnsiTheme="minorHAnsi" w:cs="Arial"/>
        </w:rPr>
        <w:t>de control y fiscalización</w:t>
      </w:r>
      <w:r w:rsidR="00940443">
        <w:rPr>
          <w:rFonts w:asciiTheme="minorHAnsi" w:hAnsiTheme="minorHAnsi" w:cs="Arial"/>
        </w:rPr>
        <w:t xml:space="preserve"> y</w:t>
      </w:r>
      <w:r w:rsidR="00AF2479">
        <w:rPr>
          <w:rFonts w:asciiTheme="minorHAnsi" w:hAnsiTheme="minorHAnsi" w:cs="Arial"/>
        </w:rPr>
        <w:t xml:space="preserve"> la </w:t>
      </w:r>
      <w:r w:rsidR="00EA2F38">
        <w:rPr>
          <w:rFonts w:asciiTheme="minorHAnsi" w:hAnsiTheme="minorHAnsi" w:cs="Arial"/>
        </w:rPr>
        <w:t xml:space="preserve">generación </w:t>
      </w:r>
      <w:r w:rsidR="003E5482">
        <w:rPr>
          <w:rFonts w:asciiTheme="minorHAnsi" w:hAnsiTheme="minorHAnsi" w:cs="Arial"/>
        </w:rPr>
        <w:t xml:space="preserve">de </w:t>
      </w:r>
      <w:r w:rsidR="00940443">
        <w:rPr>
          <w:rFonts w:asciiTheme="minorHAnsi" w:hAnsiTheme="minorHAnsi" w:cs="Arial"/>
        </w:rPr>
        <w:t xml:space="preserve">las estadísticas de las exportaciones </w:t>
      </w:r>
      <w:r w:rsidR="00EA2F38">
        <w:rPr>
          <w:rFonts w:asciiTheme="minorHAnsi" w:hAnsiTheme="minorHAnsi" w:cs="Arial"/>
        </w:rPr>
        <w:t xml:space="preserve">de mercancías bajo la citada modalidad, </w:t>
      </w:r>
      <w:r w:rsidR="00AF2479">
        <w:rPr>
          <w:rFonts w:asciiTheme="minorHAnsi" w:hAnsiTheme="minorHAnsi" w:cs="Arial"/>
        </w:rPr>
        <w:t xml:space="preserve">es fundamental </w:t>
      </w:r>
      <w:r w:rsidR="003E5482">
        <w:rPr>
          <w:rFonts w:asciiTheme="minorHAnsi" w:hAnsiTheme="minorHAnsi" w:cs="Arial"/>
        </w:rPr>
        <w:t xml:space="preserve"> </w:t>
      </w:r>
      <w:r w:rsidR="00940443">
        <w:rPr>
          <w:rFonts w:asciiTheme="minorHAnsi" w:hAnsiTheme="minorHAnsi" w:cs="Arial"/>
        </w:rPr>
        <w:t>contar oportunamente</w:t>
      </w:r>
      <w:r w:rsidRPr="00421052">
        <w:rPr>
          <w:rFonts w:asciiTheme="minorHAnsi" w:hAnsiTheme="minorHAnsi" w:cs="Arial"/>
        </w:rPr>
        <w:t xml:space="preserve"> con el valor definitivo de</w:t>
      </w:r>
      <w:r w:rsidR="00EA2F38">
        <w:rPr>
          <w:rFonts w:asciiTheme="minorHAnsi" w:hAnsiTheme="minorHAnsi" w:cs="Arial"/>
        </w:rPr>
        <w:t xml:space="preserve"> dichas </w:t>
      </w:r>
      <w:r w:rsidRPr="00421052">
        <w:rPr>
          <w:rFonts w:asciiTheme="minorHAnsi" w:hAnsiTheme="minorHAnsi" w:cs="Arial"/>
        </w:rPr>
        <w:t xml:space="preserve"> exportaciones</w:t>
      </w:r>
      <w:r w:rsidR="00EA2F38">
        <w:rPr>
          <w:rFonts w:asciiTheme="minorHAnsi" w:hAnsiTheme="minorHAnsi" w:cs="Arial"/>
        </w:rPr>
        <w:t>;</w:t>
      </w:r>
    </w:p>
    <w:p w:rsidR="006F1C2F" w:rsidRDefault="006F1C2F" w:rsidP="00F9370A">
      <w:pPr>
        <w:spacing w:after="0"/>
        <w:jc w:val="both"/>
        <w:rPr>
          <w:rFonts w:asciiTheme="minorHAnsi" w:hAnsiTheme="minorHAnsi" w:cs="Arial"/>
          <w:strike/>
          <w:color w:val="FF0000"/>
        </w:rPr>
      </w:pPr>
    </w:p>
    <w:p w:rsidR="006F1C2F" w:rsidRPr="00C82B7B" w:rsidRDefault="006F1C2F" w:rsidP="00F9370A">
      <w:pPr>
        <w:spacing w:after="0"/>
        <w:jc w:val="both"/>
        <w:rPr>
          <w:rFonts w:asciiTheme="minorHAnsi" w:hAnsiTheme="minorHAnsi" w:cs="Arial"/>
        </w:rPr>
      </w:pPr>
      <w:r w:rsidRPr="00C82B7B">
        <w:rPr>
          <w:rFonts w:asciiTheme="minorHAnsi" w:hAnsiTheme="minorHAnsi" w:cs="Arial"/>
        </w:rPr>
        <w:tab/>
      </w:r>
      <w:r w:rsidRPr="00C82B7B">
        <w:rPr>
          <w:rFonts w:asciiTheme="minorHAnsi" w:hAnsiTheme="minorHAnsi" w:cs="Arial"/>
        </w:rPr>
        <w:tab/>
      </w:r>
      <w:r w:rsidRPr="00C82B7B">
        <w:rPr>
          <w:rFonts w:asciiTheme="minorHAnsi" w:hAnsiTheme="minorHAnsi" w:cs="Arial"/>
        </w:rPr>
        <w:tab/>
      </w:r>
      <w:r w:rsidRPr="00C82B7B">
        <w:rPr>
          <w:rFonts w:asciiTheme="minorHAnsi" w:hAnsiTheme="minorHAnsi" w:cs="Arial"/>
        </w:rPr>
        <w:tab/>
        <w:t>Que, del mismo modo,</w:t>
      </w:r>
      <w:r w:rsidR="00EA2F38" w:rsidRPr="00C82B7B">
        <w:rPr>
          <w:rFonts w:asciiTheme="minorHAnsi" w:hAnsiTheme="minorHAnsi" w:cs="Arial"/>
        </w:rPr>
        <w:t xml:space="preserve"> resulta necesario </w:t>
      </w:r>
      <w:r w:rsidRPr="00C82B7B">
        <w:rPr>
          <w:rFonts w:asciiTheme="minorHAnsi" w:hAnsiTheme="minorHAnsi" w:cs="Arial"/>
        </w:rPr>
        <w:t xml:space="preserve"> contar con un procedimiento sistematizado</w:t>
      </w:r>
      <w:r w:rsidR="00EA2F38" w:rsidRPr="00C82B7B">
        <w:rPr>
          <w:rFonts w:asciiTheme="minorHAnsi" w:hAnsiTheme="minorHAnsi" w:cs="Arial"/>
        </w:rPr>
        <w:t>,</w:t>
      </w:r>
      <w:r w:rsidRPr="00C82B7B">
        <w:rPr>
          <w:rFonts w:asciiTheme="minorHAnsi" w:hAnsiTheme="minorHAnsi" w:cs="Arial"/>
        </w:rPr>
        <w:t xml:space="preserve"> que</w:t>
      </w:r>
      <w:r w:rsidR="00EA2F38" w:rsidRPr="00C82B7B">
        <w:rPr>
          <w:rFonts w:asciiTheme="minorHAnsi" w:hAnsiTheme="minorHAnsi" w:cs="Arial"/>
        </w:rPr>
        <w:t xml:space="preserve"> guarde consistencia y  sea </w:t>
      </w:r>
      <w:r w:rsidRPr="00C82B7B">
        <w:rPr>
          <w:rFonts w:asciiTheme="minorHAnsi" w:hAnsiTheme="minorHAnsi" w:cs="Arial"/>
        </w:rPr>
        <w:t xml:space="preserve"> armónico con la</w:t>
      </w:r>
      <w:r w:rsidR="00EA2F38" w:rsidRPr="00C82B7B">
        <w:rPr>
          <w:rFonts w:asciiTheme="minorHAnsi" w:hAnsiTheme="minorHAnsi" w:cs="Arial"/>
        </w:rPr>
        <w:t xml:space="preserve">s disposiciones vigentes  sobre </w:t>
      </w:r>
      <w:r w:rsidRPr="00C82B7B">
        <w:rPr>
          <w:rFonts w:asciiTheme="minorHAnsi" w:hAnsiTheme="minorHAnsi" w:cs="Arial"/>
        </w:rPr>
        <w:t xml:space="preserve"> exportaciones y el régimen sancionatorio aplicable al I</w:t>
      </w:r>
      <w:r w:rsidR="00164FAC" w:rsidRPr="00C82B7B">
        <w:rPr>
          <w:rFonts w:asciiTheme="minorHAnsi" w:hAnsiTheme="minorHAnsi" w:cs="Arial"/>
        </w:rPr>
        <w:t>nforme de Variación del Valor (IVV)</w:t>
      </w:r>
      <w:r w:rsidR="00C82B7B" w:rsidRPr="00C82B7B">
        <w:rPr>
          <w:rFonts w:asciiTheme="minorHAnsi" w:hAnsiTheme="minorHAnsi" w:cs="Arial"/>
        </w:rPr>
        <w:t>.</w:t>
      </w:r>
    </w:p>
    <w:p w:rsidR="00F9370A" w:rsidRPr="00421052" w:rsidRDefault="00F9370A" w:rsidP="00F9370A">
      <w:pPr>
        <w:spacing w:after="0"/>
        <w:jc w:val="both"/>
        <w:rPr>
          <w:rFonts w:asciiTheme="minorHAnsi" w:hAnsiTheme="minorHAnsi" w:cs="Arial"/>
        </w:rPr>
      </w:pPr>
    </w:p>
    <w:p w:rsidR="00421052" w:rsidRPr="00C82B7B" w:rsidRDefault="00421052" w:rsidP="00F9370A">
      <w:pPr>
        <w:spacing w:after="0"/>
        <w:jc w:val="both"/>
        <w:rPr>
          <w:rFonts w:asciiTheme="minorHAnsi" w:hAnsiTheme="minorHAnsi" w:cs="Arial"/>
        </w:rPr>
      </w:pP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rPr>
        <w:tab/>
      </w:r>
      <w:r w:rsidRPr="00421052">
        <w:rPr>
          <w:rFonts w:asciiTheme="minorHAnsi" w:hAnsiTheme="minorHAnsi" w:cs="Arial"/>
        </w:rPr>
        <w:tab/>
      </w:r>
      <w:r w:rsidRPr="00C82B7B">
        <w:rPr>
          <w:rFonts w:asciiTheme="minorHAnsi" w:hAnsiTheme="minorHAnsi" w:cs="Arial"/>
          <w:b/>
        </w:rPr>
        <w:t>TENIENDO PRESENTE:</w:t>
      </w:r>
      <w:r w:rsidRPr="00C82B7B">
        <w:rPr>
          <w:rFonts w:asciiTheme="minorHAnsi" w:hAnsiTheme="minorHAnsi" w:cs="Arial"/>
        </w:rPr>
        <w:t xml:space="preserve"> Lo dispuesto en el artículo 4°, números 7</w:t>
      </w:r>
      <w:r w:rsidR="00EA2F38" w:rsidRPr="00C82B7B">
        <w:rPr>
          <w:rFonts w:asciiTheme="minorHAnsi" w:hAnsiTheme="minorHAnsi" w:cs="Arial"/>
        </w:rPr>
        <w:t xml:space="preserve"> </w:t>
      </w:r>
      <w:r w:rsidRPr="00C82B7B">
        <w:rPr>
          <w:rFonts w:asciiTheme="minorHAnsi" w:hAnsiTheme="minorHAnsi" w:cs="Arial"/>
        </w:rPr>
        <w:t>y 8</w:t>
      </w:r>
      <w:r w:rsidR="00EA2F38" w:rsidRPr="00C82B7B">
        <w:rPr>
          <w:rFonts w:asciiTheme="minorHAnsi" w:hAnsiTheme="minorHAnsi" w:cs="Arial"/>
        </w:rPr>
        <w:t>,</w:t>
      </w:r>
      <w:r w:rsidR="006F1C2F" w:rsidRPr="00C82B7B">
        <w:rPr>
          <w:rFonts w:asciiTheme="minorHAnsi" w:hAnsiTheme="minorHAnsi" w:cs="Arial"/>
        </w:rPr>
        <w:t xml:space="preserve"> </w:t>
      </w:r>
      <w:r w:rsidRPr="00C82B7B">
        <w:rPr>
          <w:rFonts w:asciiTheme="minorHAnsi" w:hAnsiTheme="minorHAnsi" w:cs="Arial"/>
        </w:rPr>
        <w:t>de</w:t>
      </w:r>
      <w:r w:rsidR="006F1C2F" w:rsidRPr="00C82B7B">
        <w:rPr>
          <w:rFonts w:asciiTheme="minorHAnsi" w:hAnsiTheme="minorHAnsi" w:cs="Arial"/>
        </w:rPr>
        <w:t>l DFL N° 329</w:t>
      </w:r>
      <w:r w:rsidR="00EA2F38" w:rsidRPr="00C82B7B">
        <w:rPr>
          <w:rFonts w:asciiTheme="minorHAnsi" w:hAnsiTheme="minorHAnsi" w:cs="Arial"/>
        </w:rPr>
        <w:t>,</w:t>
      </w:r>
      <w:r w:rsidR="006F1C2F" w:rsidRPr="00C82B7B">
        <w:rPr>
          <w:rFonts w:asciiTheme="minorHAnsi" w:hAnsiTheme="minorHAnsi" w:cs="Arial"/>
        </w:rPr>
        <w:t xml:space="preserve"> de 1979, del Ministerio de Hacienda, sobre</w:t>
      </w:r>
      <w:r w:rsidRPr="00C82B7B">
        <w:rPr>
          <w:rFonts w:asciiTheme="minorHAnsi" w:hAnsiTheme="minorHAnsi" w:cs="Arial"/>
        </w:rPr>
        <w:t xml:space="preserve"> Ley Orgánica del Servicio Nacional de Aduanas, </w:t>
      </w:r>
      <w:r w:rsidR="006F1C2F" w:rsidRPr="00C82B7B">
        <w:rPr>
          <w:rFonts w:asciiTheme="minorHAnsi" w:hAnsiTheme="minorHAnsi" w:cs="Arial"/>
        </w:rPr>
        <w:t xml:space="preserve">y la Resolución N° 1600 de 2008, de la Contraloría General de la República, sobre exención de trámite de toma de razón, </w:t>
      </w:r>
      <w:r w:rsidRPr="00C82B7B">
        <w:rPr>
          <w:rFonts w:asciiTheme="minorHAnsi" w:hAnsiTheme="minorHAnsi" w:cs="Arial"/>
        </w:rPr>
        <w:t>dicto la siguiente</w:t>
      </w:r>
      <w:r w:rsidR="00164FAC" w:rsidRPr="00C82B7B">
        <w:rPr>
          <w:rFonts w:asciiTheme="minorHAnsi" w:hAnsiTheme="minorHAnsi" w:cs="Arial"/>
        </w:rPr>
        <w:t>:</w:t>
      </w:r>
    </w:p>
    <w:p w:rsidR="00421052" w:rsidRPr="00C82B7B" w:rsidRDefault="00421052" w:rsidP="00F9370A">
      <w:pPr>
        <w:spacing w:after="0"/>
        <w:jc w:val="both"/>
        <w:rPr>
          <w:rFonts w:asciiTheme="minorHAnsi" w:hAnsiTheme="minorHAnsi" w:cs="Arial"/>
        </w:rPr>
      </w:pPr>
    </w:p>
    <w:p w:rsidR="00F9370A" w:rsidRPr="00C82B7B" w:rsidRDefault="00F9370A" w:rsidP="00F9370A">
      <w:pPr>
        <w:spacing w:after="0"/>
        <w:jc w:val="both"/>
        <w:rPr>
          <w:rFonts w:asciiTheme="minorHAnsi" w:hAnsiTheme="minorHAnsi" w:cs="Arial"/>
        </w:rPr>
      </w:pPr>
    </w:p>
    <w:p w:rsidR="00421052" w:rsidRDefault="00421052" w:rsidP="00F9370A">
      <w:pPr>
        <w:spacing w:after="0"/>
        <w:jc w:val="center"/>
        <w:rPr>
          <w:rFonts w:asciiTheme="minorHAnsi" w:hAnsiTheme="minorHAnsi" w:cs="Arial"/>
          <w:b/>
        </w:rPr>
      </w:pPr>
      <w:r w:rsidRPr="00421052">
        <w:rPr>
          <w:rFonts w:asciiTheme="minorHAnsi" w:hAnsiTheme="minorHAnsi" w:cs="Arial"/>
          <w:b/>
        </w:rPr>
        <w:t xml:space="preserve">R E S O L U C I O N </w:t>
      </w:r>
    </w:p>
    <w:p w:rsidR="0010305E" w:rsidRDefault="0010305E" w:rsidP="00F9370A">
      <w:pPr>
        <w:spacing w:after="0"/>
        <w:jc w:val="center"/>
        <w:rPr>
          <w:rFonts w:asciiTheme="minorHAnsi" w:hAnsiTheme="minorHAnsi" w:cs="Arial"/>
          <w:b/>
        </w:rPr>
      </w:pPr>
    </w:p>
    <w:p w:rsidR="00421052" w:rsidRPr="00421052" w:rsidRDefault="00421052" w:rsidP="00F9370A">
      <w:pPr>
        <w:spacing w:after="0"/>
        <w:jc w:val="both"/>
        <w:rPr>
          <w:rFonts w:asciiTheme="minorHAnsi" w:hAnsiTheme="minorHAnsi"/>
          <w:b/>
          <w:bCs/>
        </w:rPr>
      </w:pPr>
    </w:p>
    <w:p w:rsidR="00421052" w:rsidRPr="00421052" w:rsidRDefault="00421052" w:rsidP="00421052">
      <w:pPr>
        <w:pStyle w:val="Prrafodelista"/>
        <w:numPr>
          <w:ilvl w:val="0"/>
          <w:numId w:val="4"/>
        </w:numPr>
        <w:jc w:val="both"/>
        <w:rPr>
          <w:rFonts w:asciiTheme="minorHAnsi" w:hAnsiTheme="minorHAnsi" w:cs="Arial"/>
        </w:rPr>
      </w:pPr>
      <w:r w:rsidRPr="00421052">
        <w:rPr>
          <w:rFonts w:asciiTheme="minorHAnsi" w:hAnsiTheme="minorHAnsi" w:cs="Arial"/>
          <w:b/>
        </w:rPr>
        <w:t xml:space="preserve">REEMPLACESE </w:t>
      </w:r>
      <w:r w:rsidRPr="00421052">
        <w:rPr>
          <w:rFonts w:asciiTheme="minorHAnsi" w:hAnsiTheme="minorHAnsi" w:cs="Arial"/>
        </w:rPr>
        <w:t xml:space="preserve">el numeral 12 </w:t>
      </w:r>
      <w:r>
        <w:rPr>
          <w:rFonts w:asciiTheme="minorHAnsi" w:hAnsiTheme="minorHAnsi" w:cs="Arial"/>
        </w:rPr>
        <w:t xml:space="preserve">del Capítulo IV del </w:t>
      </w:r>
      <w:r w:rsidRPr="00421052">
        <w:rPr>
          <w:rFonts w:asciiTheme="minorHAnsi" w:hAnsiTheme="minorHAnsi" w:cs="Arial"/>
        </w:rPr>
        <w:t xml:space="preserve">Compendio de Normas Aduaneras, </w:t>
      </w:r>
      <w:r w:rsidR="009A0AE1">
        <w:rPr>
          <w:rFonts w:asciiTheme="minorHAnsi" w:hAnsiTheme="minorHAnsi" w:cs="Arial"/>
        </w:rPr>
        <w:t>por el siguiente:</w:t>
      </w:r>
    </w:p>
    <w:p w:rsidR="00921D5C" w:rsidRPr="00CD19A7" w:rsidRDefault="00921D5C" w:rsidP="006E4D0A">
      <w:pPr>
        <w:spacing w:after="0"/>
        <w:jc w:val="both"/>
        <w:rPr>
          <w:b/>
          <w:bCs/>
        </w:rPr>
      </w:pPr>
      <w:r w:rsidRPr="00CD19A7">
        <w:rPr>
          <w:b/>
          <w:bCs/>
        </w:rPr>
        <w:t>12. Informe de Variación del Valor del DUS</w:t>
      </w:r>
      <w:r w:rsidR="00584AA2">
        <w:rPr>
          <w:b/>
          <w:bCs/>
        </w:rPr>
        <w:t>.</w:t>
      </w:r>
      <w:r w:rsidRPr="00CD19A7">
        <w:rPr>
          <w:b/>
          <w:bCs/>
        </w:rPr>
        <w:t xml:space="preserve">  </w:t>
      </w:r>
    </w:p>
    <w:p w:rsidR="00921D5C" w:rsidRDefault="00921D5C" w:rsidP="006E4D0A">
      <w:pPr>
        <w:spacing w:after="0"/>
        <w:jc w:val="both"/>
      </w:pPr>
    </w:p>
    <w:p w:rsidR="00921D5C" w:rsidRDefault="00575824" w:rsidP="006E4D0A">
      <w:pPr>
        <w:spacing w:after="0"/>
        <w:jc w:val="both"/>
      </w:pPr>
      <w:r>
        <w:t>12.1. Generalidades.</w:t>
      </w:r>
    </w:p>
    <w:p w:rsidR="00921D5C" w:rsidRDefault="00921D5C" w:rsidP="006E4D0A">
      <w:pPr>
        <w:spacing w:after="0"/>
        <w:jc w:val="both"/>
      </w:pPr>
    </w:p>
    <w:p w:rsidR="009A0AE1" w:rsidRDefault="00921D5C" w:rsidP="006E4D0A">
      <w:pPr>
        <w:spacing w:after="0"/>
        <w:jc w:val="both"/>
      </w:pPr>
      <w:r>
        <w:lastRenderedPageBreak/>
        <w:t xml:space="preserve">12.1.1. El Informe de Variación del Valor del DUS, </w:t>
      </w:r>
      <w:r w:rsidR="009E2FBA">
        <w:t xml:space="preserve">IVV, </w:t>
      </w:r>
      <w:r>
        <w:t>es</w:t>
      </w:r>
      <w:r w:rsidR="009A0AE1">
        <w:t xml:space="preserve"> el documento a través del cual,</w:t>
      </w:r>
      <w:r>
        <w:t xml:space="preserve"> </w:t>
      </w:r>
      <w:r w:rsidR="009A0AE1">
        <w:t>en las exportaciones cuya modalidad de venta es distinta de "a firme", el exportador acredita ante el Servicio</w:t>
      </w:r>
      <w:r w:rsidR="009A0AE1" w:rsidRPr="009A0AE1">
        <w:t xml:space="preserve"> </w:t>
      </w:r>
      <w:r w:rsidR="009A0AE1">
        <w:t>el  valor definitivo de la</w:t>
      </w:r>
      <w:r w:rsidR="006C106D">
        <w:t xml:space="preserve"> destinación </w:t>
      </w:r>
      <w:r w:rsidR="009A0AE1">
        <w:t xml:space="preserve"> de exportación.</w:t>
      </w:r>
      <w:r w:rsidR="006C106D">
        <w:t xml:space="preserve"> </w:t>
      </w:r>
      <w:r w:rsidR="009A0AE1">
        <w:t>El exportador podrá</w:t>
      </w:r>
      <w:r w:rsidR="006C106D">
        <w:t xml:space="preserve"> presentar el IVV por si </w:t>
      </w:r>
      <w:r w:rsidR="009A0AE1">
        <w:t xml:space="preserve"> o a través de un </w:t>
      </w:r>
      <w:r w:rsidR="006C106D">
        <w:t xml:space="preserve">agente </w:t>
      </w:r>
      <w:r w:rsidR="009A0AE1">
        <w:t>de aduanas.</w:t>
      </w:r>
    </w:p>
    <w:p w:rsidR="00921D5C" w:rsidRDefault="00921D5C" w:rsidP="006E4D0A">
      <w:pPr>
        <w:spacing w:after="0"/>
        <w:jc w:val="both"/>
      </w:pPr>
    </w:p>
    <w:p w:rsidR="00921D5C" w:rsidRDefault="008B76F4" w:rsidP="00440818">
      <w:pPr>
        <w:spacing w:after="0"/>
        <w:jc w:val="both"/>
      </w:pPr>
      <w:r>
        <w:t>12.1.2. A l</w:t>
      </w:r>
      <w:r w:rsidR="00921D5C" w:rsidRPr="008B76F4">
        <w:t xml:space="preserve">as Direcciones Regionales y Administraciones de Aduana </w:t>
      </w:r>
      <w:r>
        <w:t xml:space="preserve">corresponderá aplicar las normas a que se refiere el presente numeral 12. </w:t>
      </w:r>
    </w:p>
    <w:p w:rsidR="003E5482" w:rsidRDefault="003E5482" w:rsidP="006E4D0A">
      <w:pPr>
        <w:spacing w:after="0"/>
        <w:jc w:val="both"/>
      </w:pPr>
    </w:p>
    <w:p w:rsidR="00921D5C" w:rsidRDefault="00921D5C" w:rsidP="006E4D0A">
      <w:pPr>
        <w:spacing w:after="0"/>
        <w:jc w:val="both"/>
      </w:pPr>
      <w:r>
        <w:t xml:space="preserve">12.1.3. El IVV se deberá presentar dentro del plazo máximo de </w:t>
      </w:r>
      <w:r w:rsidR="000B784B">
        <w:t>210 días corridos</w:t>
      </w:r>
      <w:r w:rsidR="006C106D">
        <w:t>,</w:t>
      </w:r>
      <w:r>
        <w:t xml:space="preserve"> a contar de la </w:t>
      </w:r>
      <w:r w:rsidR="003E5482" w:rsidRPr="003E5482">
        <w:t>fecha de legalización del DUS</w:t>
      </w:r>
      <w:r w:rsidR="003E5482">
        <w:t>.</w:t>
      </w:r>
    </w:p>
    <w:p w:rsidR="003E5482" w:rsidRPr="003E5482" w:rsidRDefault="003E5482" w:rsidP="006E4D0A">
      <w:pPr>
        <w:spacing w:after="0"/>
        <w:jc w:val="both"/>
      </w:pPr>
    </w:p>
    <w:p w:rsidR="00921D5C" w:rsidRDefault="00921D5C" w:rsidP="0034641A">
      <w:pPr>
        <w:spacing w:after="0"/>
        <w:jc w:val="both"/>
      </w:pPr>
      <w:r>
        <w:t xml:space="preserve">La no presentación o la presentación extemporánea del IVV, dará lugar </w:t>
      </w:r>
      <w:r w:rsidR="003E5482">
        <w:t xml:space="preserve">a </w:t>
      </w:r>
      <w:r>
        <w:t>denuncia</w:t>
      </w:r>
      <w:r w:rsidR="00F40121">
        <w:t>r a</w:t>
      </w:r>
      <w:r>
        <w:t xml:space="preserve"> los infractores, de conformidad al artículo 176 letra </w:t>
      </w:r>
      <w:r w:rsidR="00A63706">
        <w:t>o</w:t>
      </w:r>
      <w:r>
        <w:t>) de la Ordenanza de Aduanas. Además</w:t>
      </w:r>
      <w:r w:rsidR="003E5482">
        <w:t>,</w:t>
      </w:r>
      <w:r>
        <w:t xml:space="preserve"> en este caso </w:t>
      </w:r>
      <w:r w:rsidR="009E2FBA">
        <w:t>el Servicio pondrá</w:t>
      </w:r>
      <w:r>
        <w:t xml:space="preserve"> los antecedentes en conocimiento del Banco Central de Chile y del Servicio de Impuestos Internos, para los fines</w:t>
      </w:r>
      <w:r w:rsidR="00F40121">
        <w:t xml:space="preserve"> que correspondan, atendido  su respectiva competencia.</w:t>
      </w:r>
      <w:r>
        <w:t xml:space="preserve"> </w:t>
      </w:r>
    </w:p>
    <w:p w:rsidR="00986E07" w:rsidRDefault="00986E07" w:rsidP="0034641A">
      <w:pPr>
        <w:spacing w:after="0"/>
        <w:jc w:val="both"/>
      </w:pPr>
    </w:p>
    <w:p w:rsidR="00986E07" w:rsidRDefault="00986E07" w:rsidP="006E4D0A">
      <w:pPr>
        <w:spacing w:after="0"/>
        <w:jc w:val="both"/>
      </w:pPr>
      <w:r>
        <w:t xml:space="preserve">Para determinar la multa a aplicar a un exportador se deberá considerar el número de denuncias multadas que se encuentren ejecutoriadas. </w:t>
      </w:r>
      <w:r w:rsidR="00425821">
        <w:t>En el caso de infracciones acumuladas en una sola denuncia y a efectos de aplicar la multa, se deberá estar al número de infracciones que la denuncia comprende.</w:t>
      </w:r>
      <w:bookmarkStart w:id="0" w:name="_GoBack"/>
      <w:bookmarkEnd w:id="0"/>
    </w:p>
    <w:p w:rsidR="00425821" w:rsidRDefault="00425821" w:rsidP="006E4D0A">
      <w:pPr>
        <w:spacing w:after="0"/>
        <w:jc w:val="both"/>
      </w:pPr>
    </w:p>
    <w:p w:rsidR="00986E07" w:rsidRDefault="00986E07" w:rsidP="006E4D0A">
      <w:pPr>
        <w:spacing w:after="0"/>
        <w:jc w:val="both"/>
      </w:pPr>
      <w:r>
        <w:t>Para efectos de determinar</w:t>
      </w:r>
      <w:r w:rsidR="00425821">
        <w:t xml:space="preserve"> el número de infracciones en que ha incurrido un exportador y aplicar la multa que corresponda, las Direcciones Regionales y Administraciones de Aduanas deberán considerar el Sistema de Denuncias, Cargos y Reclamos (DECARE), debiendo considerarse el número de denuncias multadas que se encuentren ejecutoriadas.</w:t>
      </w:r>
    </w:p>
    <w:p w:rsidR="00986E07" w:rsidRDefault="00986E07" w:rsidP="006E4D0A">
      <w:pPr>
        <w:spacing w:after="0"/>
        <w:jc w:val="both"/>
      </w:pPr>
    </w:p>
    <w:p w:rsidR="00921D5C" w:rsidRDefault="00921D5C" w:rsidP="006E4D0A">
      <w:pPr>
        <w:spacing w:after="0"/>
        <w:jc w:val="both"/>
      </w:pPr>
      <w:r>
        <w:t>12.1.4. A la presentación de los IVV no será necesario acompañar documentos de ninguna naturaleza. Sin perjuicio de ello, el exportador tendrán la obligación de mantener a disposición del Servicio de Aduanas por un plazo de 5 años, contado desde la fecha de aceptación del IVV, los antecedentes que acrediten el</w:t>
      </w:r>
      <w:r w:rsidR="00D72E09">
        <w:t xml:space="preserve">  valor de la exportación</w:t>
      </w:r>
      <w:r>
        <w:t>, tales como: rendiciones de cuentas, facturas comerciales, acta de liquidación de remates, certificado de organismos internacionales de control, y otros, según corresponda en cada caso particular.</w:t>
      </w:r>
    </w:p>
    <w:p w:rsidR="00F8316F" w:rsidRDefault="00F8316F" w:rsidP="006E4D0A">
      <w:pPr>
        <w:spacing w:after="0"/>
        <w:jc w:val="both"/>
      </w:pPr>
    </w:p>
    <w:p w:rsidR="00921D5C" w:rsidRDefault="00921D5C" w:rsidP="006E4D0A">
      <w:pPr>
        <w:spacing w:after="0"/>
        <w:jc w:val="both"/>
      </w:pPr>
    </w:p>
    <w:p w:rsidR="00921D5C" w:rsidRDefault="00921D5C" w:rsidP="006E4D0A">
      <w:pPr>
        <w:spacing w:after="0"/>
        <w:jc w:val="both"/>
      </w:pPr>
      <w:r>
        <w:t xml:space="preserve">Una vez aceptado el IVV se deberá dejar copia en la carpeta del despacho de la </w:t>
      </w:r>
      <w:r w:rsidR="00391CBF">
        <w:t>respectiva declaración de exportación</w:t>
      </w:r>
      <w:r w:rsidR="00391CBF" w:rsidRPr="00391CBF">
        <w:t>,</w:t>
      </w:r>
      <w:r w:rsidR="00391CBF">
        <w:t xml:space="preserve"> que debe conservar </w:t>
      </w:r>
      <w:r w:rsidR="00391CBF" w:rsidRPr="00391CBF">
        <w:t>el despachador</w:t>
      </w:r>
      <w:r w:rsidR="00391CBF">
        <w:t xml:space="preserve"> también por 5 años</w:t>
      </w:r>
      <w:r w:rsidR="00391CBF" w:rsidRPr="00391CBF">
        <w:t>.</w:t>
      </w:r>
      <w:r w:rsidR="00391CBF">
        <w:rPr>
          <w:strike/>
        </w:rPr>
        <w:t xml:space="preserve"> </w:t>
      </w:r>
    </w:p>
    <w:p w:rsidR="00921D5C" w:rsidRDefault="00921D5C" w:rsidP="006E4D0A">
      <w:pPr>
        <w:spacing w:after="0"/>
        <w:jc w:val="both"/>
      </w:pPr>
    </w:p>
    <w:p w:rsidR="00921D5C" w:rsidRDefault="00921D5C" w:rsidP="006E4D0A">
      <w:pPr>
        <w:spacing w:after="0"/>
        <w:jc w:val="both"/>
      </w:pPr>
      <w:r>
        <w:t>12.1.5. Los valores del IVV deberán expresarse en dólares de los Estados Unidos de América.</w:t>
      </w:r>
    </w:p>
    <w:p w:rsidR="00921D5C" w:rsidRDefault="00921D5C" w:rsidP="006E4D0A">
      <w:pPr>
        <w:spacing w:after="0"/>
        <w:jc w:val="both"/>
      </w:pPr>
      <w:r>
        <w:t xml:space="preserve">En caso que la rendición de cuentas, o documento que haga sus veces, esté expresado en una moneda distinta al dólar de los Estados Unidos de América, se deberá emplear la paridad indicada en el estado de equivalencias de monedas extranjeras que emite diariamente el </w:t>
      </w:r>
      <w:r w:rsidRPr="00CD04F1">
        <w:t>Banco Central de Chile, vigente a la fecha de venta de las mercancías, señalada como tal en la</w:t>
      </w:r>
      <w:r>
        <w:t xml:space="preserve"> respectiva rendición de cuentas, o documento que haga sus veces.</w:t>
      </w:r>
    </w:p>
    <w:p w:rsidR="00921D5C" w:rsidRDefault="00921D5C" w:rsidP="006E4D0A">
      <w:pPr>
        <w:spacing w:after="0"/>
        <w:jc w:val="both"/>
      </w:pPr>
    </w:p>
    <w:p w:rsidR="00921D5C" w:rsidRDefault="00921D5C" w:rsidP="006E4D0A">
      <w:pPr>
        <w:spacing w:after="0"/>
        <w:jc w:val="both"/>
      </w:pPr>
      <w:r>
        <w:lastRenderedPageBreak/>
        <w:t>En caso que exista más de una fecha de venta y/o período de comercialización, la paridad a utilizar deberá corresponder a aquella que se encuentre vigente al día de la última venta, o el último día del período de comercialización, según corresponda.</w:t>
      </w:r>
    </w:p>
    <w:p w:rsidR="00921D5C" w:rsidRDefault="00921D5C" w:rsidP="006E4D0A">
      <w:pPr>
        <w:spacing w:after="0"/>
        <w:jc w:val="both"/>
      </w:pPr>
    </w:p>
    <w:p w:rsidR="00921D5C" w:rsidRDefault="00921D5C" w:rsidP="006E4D0A">
      <w:pPr>
        <w:spacing w:after="0"/>
        <w:jc w:val="both"/>
      </w:pPr>
      <w:r>
        <w:t xml:space="preserve">12.1.6. </w:t>
      </w:r>
      <w:r w:rsidR="001265A0" w:rsidRPr="00D72E09">
        <w:t>Un</w:t>
      </w:r>
      <w:r w:rsidR="001265A0" w:rsidRPr="001265A0">
        <w:t xml:space="preserve"> </w:t>
      </w:r>
      <w:r w:rsidRPr="001265A0">
        <w:t>DUS</w:t>
      </w:r>
      <w:r>
        <w:t xml:space="preserve"> sólo podrá dar origen a un IVV, salvo que existan dos exportadores (principal y secundario), en cuyo caso deberá confeccionarse un IVV, por cada uno de ellos, de acuerdo a la proporción que les corresponda.</w:t>
      </w:r>
    </w:p>
    <w:p w:rsidR="00921D5C" w:rsidRDefault="00921D5C" w:rsidP="006E4D0A">
      <w:pPr>
        <w:spacing w:after="0"/>
        <w:jc w:val="both"/>
      </w:pPr>
    </w:p>
    <w:p w:rsidR="00921D5C" w:rsidRDefault="00921D5C" w:rsidP="006E4D0A">
      <w:pPr>
        <w:spacing w:after="0"/>
        <w:jc w:val="both"/>
      </w:pPr>
      <w:r>
        <w:t xml:space="preserve">12.1.7. El IVV deberá presentarse </w:t>
      </w:r>
      <w:r w:rsidR="00471BFC">
        <w:t>aun</w:t>
      </w:r>
      <w:r>
        <w:t xml:space="preserve"> cuando no existan diferencias entre los valores del DUS - Legalizado y los valores definitivos.</w:t>
      </w:r>
    </w:p>
    <w:p w:rsidR="00921D5C" w:rsidRDefault="00921D5C" w:rsidP="006E4D0A">
      <w:pPr>
        <w:spacing w:after="0"/>
        <w:jc w:val="both"/>
      </w:pPr>
    </w:p>
    <w:p w:rsidR="00921D5C" w:rsidRDefault="00921D5C" w:rsidP="006E4D0A">
      <w:pPr>
        <w:spacing w:after="0"/>
        <w:jc w:val="both"/>
      </w:pPr>
      <w:r>
        <w:t>12.1.8. Cuando exista una rendición de cuenta global, o documento que haga sus veces, indicando un valor bruto de venta total y los gastos correspondientes a más de un DUS - Legalizado, el IVV se confeccionará según las siguientes pautas:</w:t>
      </w:r>
    </w:p>
    <w:p w:rsidR="00921D5C" w:rsidRDefault="00921D5C" w:rsidP="006E4D0A">
      <w:pPr>
        <w:spacing w:after="0"/>
        <w:jc w:val="both"/>
      </w:pPr>
    </w:p>
    <w:p w:rsidR="00921D5C" w:rsidRDefault="00921D5C" w:rsidP="006E4D0A">
      <w:pPr>
        <w:spacing w:after="0"/>
        <w:jc w:val="both"/>
      </w:pPr>
      <w:r>
        <w:t>a) Rendición de cuenta con valores brutos de venta individuales:</w:t>
      </w:r>
    </w:p>
    <w:p w:rsidR="00921D5C" w:rsidRDefault="00921D5C" w:rsidP="006E4D0A">
      <w:pPr>
        <w:spacing w:after="0"/>
        <w:jc w:val="both"/>
      </w:pPr>
    </w:p>
    <w:p w:rsidR="00921D5C" w:rsidRDefault="00921D5C" w:rsidP="006E4D0A">
      <w:pPr>
        <w:spacing w:after="0"/>
        <w:jc w:val="both"/>
      </w:pPr>
      <w:r>
        <w:t>En estos casos, el valor bruto de venta correspondiente a cada DUS se formará considerando los valores brutos de venta indicados en la rendición de cuenta para las mercancías específicas que correspondan.</w:t>
      </w:r>
    </w:p>
    <w:p w:rsidR="00921D5C" w:rsidRDefault="00921D5C" w:rsidP="006E4D0A">
      <w:pPr>
        <w:spacing w:after="0"/>
        <w:jc w:val="both"/>
      </w:pPr>
    </w:p>
    <w:p w:rsidR="00921D5C" w:rsidRDefault="00921D5C" w:rsidP="006E4D0A">
      <w:pPr>
        <w:spacing w:after="0"/>
        <w:jc w:val="both"/>
      </w:pPr>
      <w:r>
        <w:t>Respecto de los gastos deducibles, deberán ser distribuidos en forma proporcional al valor bruto de venta correspondiente a cada uno de los DUS - Legalizados.</w:t>
      </w:r>
    </w:p>
    <w:p w:rsidR="00921D5C" w:rsidRDefault="00921D5C" w:rsidP="006E4D0A">
      <w:pPr>
        <w:spacing w:after="0"/>
        <w:jc w:val="both"/>
      </w:pPr>
    </w:p>
    <w:p w:rsidR="00921D5C" w:rsidRDefault="00921D5C" w:rsidP="006E4D0A">
      <w:pPr>
        <w:spacing w:after="0"/>
        <w:jc w:val="both"/>
      </w:pPr>
      <w:r>
        <w:t>b) Rendición de cuenta sin valores brutos de venta individuales:</w:t>
      </w:r>
    </w:p>
    <w:p w:rsidR="00921D5C" w:rsidRDefault="00921D5C" w:rsidP="006E4D0A">
      <w:pPr>
        <w:spacing w:after="0"/>
        <w:jc w:val="both"/>
      </w:pPr>
    </w:p>
    <w:p w:rsidR="00921D5C" w:rsidRDefault="00921D5C" w:rsidP="006E4D0A">
      <w:pPr>
        <w:spacing w:after="0"/>
        <w:jc w:val="both"/>
      </w:pPr>
      <w:r>
        <w:t>El valor bruto de venta correspondiente a cada DUS - Legalizado se formará distribuyendo el valor bruto de venta total en proporción al valor FOB de cada uno de los DUS - Legalizados.</w:t>
      </w:r>
    </w:p>
    <w:p w:rsidR="00921D5C" w:rsidRDefault="00921D5C" w:rsidP="006E4D0A">
      <w:pPr>
        <w:spacing w:after="0"/>
        <w:jc w:val="both"/>
      </w:pPr>
    </w:p>
    <w:p w:rsidR="00921D5C" w:rsidRDefault="00921D5C" w:rsidP="006E4D0A">
      <w:pPr>
        <w:spacing w:after="0"/>
        <w:jc w:val="both"/>
      </w:pPr>
      <w:r>
        <w:t xml:space="preserve">La distribución de los gastos deducibles se efectuará en forma proporcional al valor bruto de venta correspondiente a cada uno de los DUS - Legalizados. </w:t>
      </w:r>
    </w:p>
    <w:p w:rsidR="00921D5C" w:rsidRDefault="00921D5C" w:rsidP="006E4D0A">
      <w:pPr>
        <w:spacing w:after="0"/>
        <w:jc w:val="both"/>
      </w:pPr>
    </w:p>
    <w:p w:rsidR="00921D5C" w:rsidRDefault="00921D5C" w:rsidP="006E4D0A">
      <w:pPr>
        <w:spacing w:after="0"/>
        <w:jc w:val="both"/>
      </w:pPr>
      <w:r>
        <w:t>Se entiende por valor bruto de venta, el valor de venta en destino, sin ningún descuento.</w:t>
      </w:r>
    </w:p>
    <w:p w:rsidR="00921D5C" w:rsidRDefault="00921D5C" w:rsidP="006E4D0A">
      <w:pPr>
        <w:spacing w:after="0"/>
        <w:jc w:val="both"/>
      </w:pPr>
    </w:p>
    <w:p w:rsidR="00921D5C" w:rsidRDefault="00921D5C" w:rsidP="006E4D0A">
      <w:pPr>
        <w:spacing w:after="0"/>
        <w:jc w:val="both"/>
      </w:pPr>
      <w:r>
        <w:t>12.1.9. Los exportadores podrán deducir del producto de la venta de las mercancías que exporten, a la presentación del correspondiente IVV, los gastos que se indican a continuación, siempre que estén debidamente individualizados en las rendiciones de cuentas del exterior, facturas comerciales o documentos que hagan sus veces:</w:t>
      </w:r>
    </w:p>
    <w:p w:rsidR="00921D5C" w:rsidRDefault="00921D5C" w:rsidP="006E4D0A">
      <w:pPr>
        <w:spacing w:after="0"/>
        <w:jc w:val="both"/>
      </w:pPr>
    </w:p>
    <w:p w:rsidR="00921D5C" w:rsidRDefault="00921D5C" w:rsidP="006E4D0A">
      <w:pPr>
        <w:spacing w:after="0"/>
        <w:jc w:val="both"/>
      </w:pPr>
      <w:r>
        <w:t>- Gastos de transporte (flete al país de destino, flete interno en el país de destino, redestinación).</w:t>
      </w:r>
    </w:p>
    <w:p w:rsidR="00921D5C" w:rsidRDefault="00921D5C" w:rsidP="006E4D0A">
      <w:pPr>
        <w:spacing w:after="0"/>
        <w:jc w:val="both"/>
      </w:pPr>
    </w:p>
    <w:p w:rsidR="00921D5C" w:rsidRDefault="00921D5C" w:rsidP="006E4D0A">
      <w:pPr>
        <w:spacing w:after="0"/>
        <w:jc w:val="both"/>
      </w:pPr>
      <w:r>
        <w:t>- Gastos de primas de seguro.</w:t>
      </w:r>
    </w:p>
    <w:p w:rsidR="00921D5C" w:rsidRDefault="00921D5C" w:rsidP="006E4D0A">
      <w:pPr>
        <w:spacing w:after="0"/>
        <w:jc w:val="both"/>
      </w:pPr>
    </w:p>
    <w:p w:rsidR="00921D5C" w:rsidRDefault="00921D5C" w:rsidP="006E4D0A">
      <w:pPr>
        <w:spacing w:after="0"/>
        <w:jc w:val="both"/>
      </w:pPr>
      <w:r>
        <w:lastRenderedPageBreak/>
        <w:t>- Gastos dentro y fuera del recinto de Aduana o portuarios (derechos de aduana, gastos de internación, tasas, tarifas e impuestos en recintos de aduana o portuarios, honorarios de despachador).</w:t>
      </w:r>
    </w:p>
    <w:p w:rsidR="00921D5C" w:rsidRDefault="00921D5C" w:rsidP="006E4D0A">
      <w:pPr>
        <w:spacing w:after="0"/>
        <w:jc w:val="both"/>
      </w:pPr>
    </w:p>
    <w:p w:rsidR="00921D5C" w:rsidRDefault="00921D5C" w:rsidP="006E4D0A">
      <w:pPr>
        <w:spacing w:after="0"/>
        <w:jc w:val="both"/>
      </w:pPr>
      <w:r>
        <w:t>- Gastos de muelle (movimiento de carga y descarga, derechos de muelle, pronto despacho, demora, mano de obra, gastos de terminal, supervisión).</w:t>
      </w:r>
    </w:p>
    <w:p w:rsidR="00921D5C" w:rsidRDefault="00921D5C" w:rsidP="006E4D0A">
      <w:pPr>
        <w:spacing w:after="0"/>
        <w:jc w:val="both"/>
      </w:pPr>
    </w:p>
    <w:p w:rsidR="00921D5C" w:rsidRDefault="00921D5C" w:rsidP="006E4D0A">
      <w:pPr>
        <w:spacing w:after="0"/>
        <w:jc w:val="both"/>
      </w:pPr>
      <w:r>
        <w:t>- Gastos de almacenamiento (refrigeración, calor, bodegaje, acarreo a bodega o almacén).</w:t>
      </w:r>
    </w:p>
    <w:p w:rsidR="00921D5C" w:rsidRDefault="00921D5C" w:rsidP="006E4D0A">
      <w:pPr>
        <w:spacing w:after="0"/>
        <w:jc w:val="both"/>
      </w:pPr>
    </w:p>
    <w:p w:rsidR="00921D5C" w:rsidRDefault="00921D5C" w:rsidP="006E4D0A">
      <w:pPr>
        <w:spacing w:after="0"/>
        <w:jc w:val="both"/>
      </w:pPr>
      <w:r>
        <w:t>- Gastos de inspección (de organismos, gubernamentales o privados, de compañías aseguradoras, inspecciones y supervisiones marítimas de calado y análisis).</w:t>
      </w:r>
    </w:p>
    <w:p w:rsidR="00921D5C" w:rsidRDefault="00921D5C" w:rsidP="006E4D0A">
      <w:pPr>
        <w:spacing w:after="0"/>
        <w:jc w:val="both"/>
      </w:pPr>
    </w:p>
    <w:p w:rsidR="00921D5C" w:rsidRDefault="00921D5C" w:rsidP="006E4D0A">
      <w:pPr>
        <w:spacing w:after="0"/>
        <w:jc w:val="both"/>
      </w:pPr>
      <w:r>
        <w:t>- Gastos bancarios.</w:t>
      </w:r>
    </w:p>
    <w:p w:rsidR="00921D5C" w:rsidRDefault="00921D5C" w:rsidP="006E4D0A">
      <w:pPr>
        <w:spacing w:after="0"/>
        <w:jc w:val="both"/>
      </w:pPr>
    </w:p>
    <w:p w:rsidR="00921D5C" w:rsidRDefault="00921D5C" w:rsidP="006E4D0A">
      <w:pPr>
        <w:spacing w:after="0"/>
        <w:jc w:val="both"/>
      </w:pPr>
      <w:r>
        <w:t>- Gastos por Comisiones de Venta.</w:t>
      </w:r>
    </w:p>
    <w:p w:rsidR="00921D5C" w:rsidRDefault="00921D5C" w:rsidP="006E4D0A">
      <w:pPr>
        <w:spacing w:after="0"/>
        <w:jc w:val="both"/>
      </w:pPr>
    </w:p>
    <w:p w:rsidR="00921D5C" w:rsidRDefault="00921D5C" w:rsidP="006E4D0A">
      <w:pPr>
        <w:spacing w:after="0"/>
        <w:jc w:val="both"/>
      </w:pPr>
      <w:r>
        <w:t>- Otros gastos tales como revisión técnica, fumigación, selección y reempaque.</w:t>
      </w:r>
    </w:p>
    <w:p w:rsidR="00921D5C" w:rsidRPr="008B76F4" w:rsidRDefault="00921D5C" w:rsidP="006E4D0A">
      <w:pPr>
        <w:spacing w:after="0"/>
        <w:jc w:val="both"/>
        <w:rPr>
          <w:b/>
        </w:rPr>
      </w:pPr>
    </w:p>
    <w:p w:rsidR="00921D5C" w:rsidRDefault="00921D5C" w:rsidP="006E4D0A">
      <w:pPr>
        <w:spacing w:after="0"/>
        <w:jc w:val="both"/>
      </w:pPr>
      <w:r>
        <w:t>12.1.10. En caso en que el Documento de Salida (DUS) Legalizado no se haya indicado el consignatario en el recuadro respectivo y este se haya reemplazo por la expresión "a la orden", se deberá indicar en el recuadro de "Observaciones" del IVV, el Nombre del consignatario de la mercancía, sea este comprador final, representante, distribuidor u otros.</w:t>
      </w:r>
    </w:p>
    <w:p w:rsidR="00921D5C" w:rsidRDefault="00921D5C" w:rsidP="006E4D0A">
      <w:pPr>
        <w:spacing w:after="0"/>
        <w:jc w:val="both"/>
      </w:pPr>
    </w:p>
    <w:p w:rsidR="00921D5C" w:rsidRPr="00DD5ADE" w:rsidRDefault="00921D5C" w:rsidP="00DD5ADE">
      <w:pPr>
        <w:spacing w:after="0"/>
        <w:jc w:val="both"/>
        <w:rPr>
          <w:bCs/>
        </w:rPr>
      </w:pPr>
      <w:r w:rsidRPr="00DD5ADE">
        <w:rPr>
          <w:bCs/>
        </w:rPr>
        <w:t xml:space="preserve">12.2. Prórrogas y </w:t>
      </w:r>
      <w:r w:rsidR="00595BCF" w:rsidRPr="00DD5ADE">
        <w:rPr>
          <w:bCs/>
        </w:rPr>
        <w:t>Modificaciones</w:t>
      </w:r>
      <w:r w:rsidR="00575824">
        <w:rPr>
          <w:bCs/>
        </w:rPr>
        <w:t>.</w:t>
      </w:r>
    </w:p>
    <w:p w:rsidR="00471BFC" w:rsidRDefault="00471BFC" w:rsidP="00B0764C">
      <w:pPr>
        <w:pStyle w:val="NormalWeb"/>
        <w:shd w:val="clear" w:color="auto" w:fill="FFFFFF"/>
        <w:spacing w:before="0" w:beforeAutospacing="0" w:after="0" w:afterAutospacing="0" w:line="373" w:lineRule="atLeast"/>
        <w:jc w:val="both"/>
        <w:rPr>
          <w:rFonts w:ascii="Arial" w:hAnsi="Arial" w:cs="Arial"/>
          <w:color w:val="333333"/>
          <w:sz w:val="22"/>
          <w:szCs w:val="22"/>
        </w:rPr>
      </w:pPr>
    </w:p>
    <w:p w:rsidR="00921D5C" w:rsidRDefault="00471BFC" w:rsidP="00F5067C">
      <w:pPr>
        <w:spacing w:after="0"/>
        <w:jc w:val="both"/>
      </w:pPr>
      <w:r w:rsidRPr="00DD5ADE">
        <w:t>1</w:t>
      </w:r>
      <w:r w:rsidR="00921D5C" w:rsidRPr="00DD5ADE">
        <w:t>2.2.1.</w:t>
      </w:r>
      <w:r w:rsidR="00DD5ADE">
        <w:t> Prórrogas</w:t>
      </w:r>
      <w:r w:rsidR="00575824">
        <w:t>.</w:t>
      </w:r>
    </w:p>
    <w:p w:rsidR="00D035A4" w:rsidRDefault="00D035A4" w:rsidP="00F5067C">
      <w:pPr>
        <w:spacing w:after="0"/>
        <w:jc w:val="both"/>
      </w:pPr>
    </w:p>
    <w:p w:rsidR="009A3AE2" w:rsidRPr="006B6D47" w:rsidRDefault="00C82B7B" w:rsidP="00C82B7B">
      <w:pPr>
        <w:spacing w:after="0"/>
        <w:jc w:val="both"/>
      </w:pPr>
      <w:r w:rsidRPr="006B6D47">
        <w:t>El exportador, por sí mismo o a través de</w:t>
      </w:r>
      <w:r w:rsidR="009A3AE2" w:rsidRPr="006B6D47">
        <w:t>l agente de adu</w:t>
      </w:r>
      <w:r w:rsidR="00575824" w:rsidRPr="006B6D47">
        <w:t>a</w:t>
      </w:r>
      <w:r w:rsidR="009A3AE2" w:rsidRPr="006B6D47">
        <w:t xml:space="preserve">nas que haya intervenido en la operación, </w:t>
      </w:r>
      <w:r w:rsidRPr="006B6D47">
        <w:t>podrá</w:t>
      </w:r>
      <w:r w:rsidR="00575824" w:rsidRPr="006B6D47">
        <w:t xml:space="preserve"> </w:t>
      </w:r>
      <w:r w:rsidRPr="006B6D47">
        <w:t>solicitar</w:t>
      </w:r>
      <w:r w:rsidR="009A3AE2" w:rsidRPr="006B6D47">
        <w:t xml:space="preserve"> prórroga </w:t>
      </w:r>
      <w:r w:rsidRPr="006B6D47">
        <w:t>del plazo de presentación del IVV, antes de su vencimiento</w:t>
      </w:r>
      <w:r w:rsidR="009A3AE2" w:rsidRPr="006B6D47">
        <w:t>, de manera fundada, adjuntado los antecedentes en que la funda</w:t>
      </w:r>
      <w:r w:rsidR="006B6D47" w:rsidRPr="006B6D47">
        <w:t xml:space="preserve"> a través de la opción "Solicitud de Prórroga" en la página Web del Servicio</w:t>
      </w:r>
      <w:r w:rsidR="00575824" w:rsidRPr="006B6D47">
        <w:t>, indicando en el recuadro observación los motivos que justifican la prórroga.</w:t>
      </w:r>
    </w:p>
    <w:p w:rsidR="009A3AE2" w:rsidRPr="006B6D47" w:rsidRDefault="009A3AE2" w:rsidP="00C82B7B">
      <w:pPr>
        <w:spacing w:after="0"/>
        <w:jc w:val="both"/>
      </w:pPr>
    </w:p>
    <w:p w:rsidR="00D035A4" w:rsidRPr="006B6D47" w:rsidRDefault="00C82B7B" w:rsidP="009A3AE2">
      <w:pPr>
        <w:spacing w:after="0"/>
        <w:jc w:val="both"/>
      </w:pPr>
      <w:r w:rsidRPr="006B6D47">
        <w:t>El Servicio, pod</w:t>
      </w:r>
      <w:r w:rsidR="009A3AE2" w:rsidRPr="006B6D47">
        <w:t>rá aceptar o no la prorroga</w:t>
      </w:r>
      <w:r w:rsidRPr="006B6D47">
        <w:t xml:space="preserve"> solicitada; </w:t>
      </w:r>
      <w:r w:rsidR="009A3AE2" w:rsidRPr="006B6D47">
        <w:t>de acogerla</w:t>
      </w:r>
      <w:r w:rsidR="00D035A4" w:rsidRPr="006B6D47">
        <w:t>,</w:t>
      </w:r>
      <w:r w:rsidR="009A3AE2" w:rsidRPr="006B6D47">
        <w:t xml:space="preserve"> </w:t>
      </w:r>
      <w:r w:rsidRPr="006B6D47">
        <w:t xml:space="preserve">aceptará la </w:t>
      </w:r>
      <w:r w:rsidR="006B6D47" w:rsidRPr="006B6D47">
        <w:t>solicitud de prórroga</w:t>
      </w:r>
      <w:r w:rsidRPr="006B6D47">
        <w:t>, debiendo emitirse la resolución respectiva por el Director Regional o Administrador de la Aduana</w:t>
      </w:r>
      <w:r w:rsidR="00D035A4" w:rsidRPr="006B6D47">
        <w:t>, según corresponda.</w:t>
      </w:r>
    </w:p>
    <w:p w:rsidR="006B6D47" w:rsidRPr="006B6D47" w:rsidRDefault="006B6D47" w:rsidP="009A3AE2">
      <w:pPr>
        <w:spacing w:after="0"/>
        <w:jc w:val="both"/>
      </w:pPr>
    </w:p>
    <w:p w:rsidR="009A3AE2" w:rsidRPr="006B6D47" w:rsidRDefault="009A3AE2" w:rsidP="009A3AE2">
      <w:pPr>
        <w:spacing w:after="0"/>
        <w:jc w:val="both"/>
      </w:pPr>
      <w:r w:rsidRPr="006B6D47">
        <w:t>Las prórrogas serán otorgadas por una sola vez y por un período de</w:t>
      </w:r>
      <w:r w:rsidR="00D035A4" w:rsidRPr="006B6D47">
        <w:t xml:space="preserve"> </w:t>
      </w:r>
      <w:r w:rsidR="006B6D47" w:rsidRPr="006B6D47">
        <w:t xml:space="preserve">hasta </w:t>
      </w:r>
      <w:r w:rsidRPr="006B6D47">
        <w:t>60 días corridos, contados desde la fecha del vencimiento del plazo original.</w:t>
      </w:r>
    </w:p>
    <w:p w:rsidR="009A3AE2" w:rsidRPr="006B6D47" w:rsidRDefault="009A3AE2" w:rsidP="00F5067C">
      <w:pPr>
        <w:spacing w:after="0"/>
        <w:jc w:val="both"/>
      </w:pPr>
    </w:p>
    <w:p w:rsidR="00D72E09" w:rsidRPr="006B6D47" w:rsidRDefault="00D72E09" w:rsidP="00F5067C">
      <w:pPr>
        <w:spacing w:after="0"/>
        <w:jc w:val="both"/>
      </w:pPr>
      <w:r w:rsidRPr="006B6D47">
        <w:t xml:space="preserve">Si </w:t>
      </w:r>
      <w:r w:rsidR="009A3AE2" w:rsidRPr="006B6D47">
        <w:t xml:space="preserve">dentro del nuevo plazo autorizado plazo </w:t>
      </w:r>
      <w:r w:rsidR="00755FB1" w:rsidRPr="006B6D47">
        <w:t>no se presenta</w:t>
      </w:r>
      <w:r w:rsidR="009A3AE2" w:rsidRPr="006B6D47">
        <w:t xml:space="preserve">ra </w:t>
      </w:r>
      <w:r w:rsidR="00755FB1" w:rsidRPr="006B6D47">
        <w:t xml:space="preserve">el IVV, </w:t>
      </w:r>
      <w:r w:rsidR="009A3AE2" w:rsidRPr="006B6D47">
        <w:t xml:space="preserve">se dará curso a la denuncia respectiva, aplicando la multa que correspondiere, </w:t>
      </w:r>
      <w:r w:rsidR="00755FB1" w:rsidRPr="006B6D47">
        <w:t>de conformidad al artículo 176 letra o) de la Ordenanza de Aduanas.</w:t>
      </w:r>
    </w:p>
    <w:p w:rsidR="00921D5C" w:rsidRPr="00F5067C" w:rsidRDefault="00921D5C" w:rsidP="00F5067C">
      <w:pPr>
        <w:spacing w:after="0"/>
        <w:jc w:val="both"/>
      </w:pPr>
      <w:r w:rsidRPr="00F5067C">
        <w:br/>
      </w:r>
      <w:r w:rsidRPr="00DD5ADE">
        <w:t>12.2.2.</w:t>
      </w:r>
      <w:r w:rsidRPr="00F5067C">
        <w:t> </w:t>
      </w:r>
      <w:r w:rsidR="00595BCF" w:rsidRPr="00F5067C">
        <w:t>Modificaciones</w:t>
      </w:r>
      <w:r w:rsidR="00057755">
        <w:t>.</w:t>
      </w:r>
    </w:p>
    <w:p w:rsidR="00921D5C" w:rsidRPr="00F5067C" w:rsidRDefault="00921D5C" w:rsidP="00DC1B19">
      <w:pPr>
        <w:spacing w:after="0"/>
        <w:jc w:val="both"/>
      </w:pPr>
    </w:p>
    <w:p w:rsidR="00575824" w:rsidRDefault="00471BFC" w:rsidP="00F5067C">
      <w:pPr>
        <w:spacing w:after="0"/>
        <w:jc w:val="both"/>
      </w:pPr>
      <w:r w:rsidRPr="009A3AE2">
        <w:t xml:space="preserve">El exportador, por sí mismo o </w:t>
      </w:r>
      <w:r w:rsidR="00DD5ADE" w:rsidRPr="009A3AE2">
        <w:t>a través de</w:t>
      </w:r>
      <w:r w:rsidRPr="009A3AE2">
        <w:t xml:space="preserve"> su agente de aduanas, </w:t>
      </w:r>
      <w:r w:rsidR="008E3372" w:rsidRPr="009A3AE2">
        <w:t>podrá solicitar</w:t>
      </w:r>
      <w:r w:rsidR="009A3AE2" w:rsidRPr="009A3AE2">
        <w:rPr>
          <w:b/>
        </w:rPr>
        <w:t xml:space="preserve"> </w:t>
      </w:r>
      <w:r w:rsidR="00575824" w:rsidRPr="00F5067C">
        <w:t xml:space="preserve">la modificación </w:t>
      </w:r>
      <w:r w:rsidR="00575824" w:rsidRPr="006B6D47">
        <w:t xml:space="preserve">del IVV, </w:t>
      </w:r>
      <w:r w:rsidR="009A3AE2" w:rsidRPr="006B6D47">
        <w:t>de manera fundada,</w:t>
      </w:r>
      <w:r w:rsidR="00575824" w:rsidRPr="006B6D47">
        <w:t xml:space="preserve"> adjuntado los antecedentes en que la funda, </w:t>
      </w:r>
      <w:r w:rsidR="008E3372" w:rsidRPr="006B6D47">
        <w:t xml:space="preserve"> </w:t>
      </w:r>
      <w:r w:rsidR="00575824" w:rsidRPr="006B6D47">
        <w:t>cuando</w:t>
      </w:r>
      <w:r w:rsidR="00575824">
        <w:t xml:space="preserve"> </w:t>
      </w:r>
      <w:r w:rsidR="008E3372" w:rsidRPr="00F5067C">
        <w:t>con p</w:t>
      </w:r>
      <w:r w:rsidR="00575824">
        <w:t>osterioridad a su aceptación detectare</w:t>
      </w:r>
      <w:r w:rsidR="008E3372" w:rsidRPr="00F5067C">
        <w:t xml:space="preserve"> errores, </w:t>
      </w:r>
      <w:r w:rsidR="00595BCF" w:rsidRPr="00F5067C">
        <w:t>mediante presentación de Solicitud de Modificación de Destinación Aduanera (SMDA)</w:t>
      </w:r>
      <w:r w:rsidR="00575824">
        <w:t xml:space="preserve">, </w:t>
      </w:r>
      <w:r w:rsidR="008E3372" w:rsidRPr="00F5067C">
        <w:t>indicando en el recuadro ob</w:t>
      </w:r>
      <w:r w:rsidR="00D035A4">
        <w:t xml:space="preserve">servación los motivos del error y </w:t>
      </w:r>
      <w:r w:rsidR="008E3372" w:rsidRPr="00F5067C">
        <w:t xml:space="preserve"> si ha accedido a algún beneficio a las exportaciones</w:t>
      </w:r>
      <w:r w:rsidR="00D035A4">
        <w:t>.</w:t>
      </w:r>
    </w:p>
    <w:p w:rsidR="00D035A4" w:rsidRDefault="00D035A4" w:rsidP="00F5067C">
      <w:pPr>
        <w:spacing w:after="0"/>
        <w:jc w:val="both"/>
      </w:pPr>
    </w:p>
    <w:p w:rsidR="00DF7E94" w:rsidRPr="00F5067C" w:rsidRDefault="00DF7E94" w:rsidP="00F5067C">
      <w:pPr>
        <w:spacing w:after="0"/>
        <w:jc w:val="both"/>
      </w:pPr>
      <w:r w:rsidRPr="00F5067C">
        <w:t xml:space="preserve">La </w:t>
      </w:r>
      <w:r w:rsidR="00595BCF" w:rsidRPr="00F5067C">
        <w:t>modificación</w:t>
      </w:r>
      <w:r w:rsidRPr="00F5067C">
        <w:t xml:space="preserve"> deberá ser solicitada dentro del plazo de 30 días corridos</w:t>
      </w:r>
      <w:r w:rsidR="00326517">
        <w:t xml:space="preserve">, contados desde </w:t>
      </w:r>
      <w:r w:rsidRPr="00F5067C">
        <w:t xml:space="preserve"> </w:t>
      </w:r>
      <w:r w:rsidR="00755FB1">
        <w:t xml:space="preserve">la </w:t>
      </w:r>
      <w:r w:rsidRPr="00F5067C">
        <w:t>fecha de aceptación del IVV.</w:t>
      </w:r>
    </w:p>
    <w:p w:rsidR="00D035A4" w:rsidRDefault="00D035A4" w:rsidP="00F5067C">
      <w:pPr>
        <w:spacing w:after="0"/>
        <w:jc w:val="both"/>
      </w:pPr>
    </w:p>
    <w:p w:rsidR="00575824" w:rsidRPr="00575824" w:rsidRDefault="008E3372" w:rsidP="00F5067C">
      <w:pPr>
        <w:spacing w:after="0"/>
        <w:jc w:val="both"/>
        <w:rPr>
          <w:b/>
        </w:rPr>
      </w:pPr>
      <w:r w:rsidRPr="006B6D47">
        <w:t>El Servicio,</w:t>
      </w:r>
      <w:r w:rsidR="00326517" w:rsidRPr="006B6D47">
        <w:t xml:space="preserve"> podrá aceptar o no la modificación solicitada; en caso de</w:t>
      </w:r>
      <w:r w:rsidR="00575824" w:rsidRPr="006B6D47">
        <w:t xml:space="preserve"> acceder </w:t>
      </w:r>
      <w:r w:rsidR="00326517" w:rsidRPr="006B6D47">
        <w:t xml:space="preserve"> aceptará </w:t>
      </w:r>
      <w:r w:rsidR="00595BCF" w:rsidRPr="006B6D47">
        <w:t xml:space="preserve"> la SMDA</w:t>
      </w:r>
      <w:r w:rsidR="00326517" w:rsidRPr="006B6D47">
        <w:t xml:space="preserve">, debiendo emitirse la resolución respectiva por el </w:t>
      </w:r>
      <w:r w:rsidR="00DF7E94" w:rsidRPr="006B6D47">
        <w:t xml:space="preserve">Director </w:t>
      </w:r>
      <w:r w:rsidR="00326517" w:rsidRPr="006B6D47">
        <w:t>Regional o Administrador de la A</w:t>
      </w:r>
      <w:r w:rsidR="00DF7E94" w:rsidRPr="006B6D47">
        <w:t>duana</w:t>
      </w:r>
      <w:r w:rsidR="00326517" w:rsidRPr="006B6D47">
        <w:t xml:space="preserve">, según corresponda, </w:t>
      </w:r>
      <w:r w:rsidR="00DF7E94" w:rsidRPr="006B6D47">
        <w:t xml:space="preserve"> </w:t>
      </w:r>
      <w:r w:rsidR="00575824" w:rsidRPr="006B6D47">
        <w:t xml:space="preserve">debiendo ingresar las modificaciones al </w:t>
      </w:r>
      <w:r w:rsidR="00326517" w:rsidRPr="006B6D47">
        <w:t>sistema informático</w:t>
      </w:r>
      <w:r w:rsidR="00575824" w:rsidRPr="006B6D47">
        <w:t>.</w:t>
      </w:r>
    </w:p>
    <w:p w:rsidR="00617559" w:rsidRPr="00575824" w:rsidRDefault="00617559" w:rsidP="00F5067C">
      <w:pPr>
        <w:spacing w:after="0"/>
        <w:jc w:val="both"/>
        <w:rPr>
          <w:b/>
        </w:rPr>
      </w:pPr>
    </w:p>
    <w:p w:rsidR="00921D5C" w:rsidRDefault="00DD5ADE" w:rsidP="006E4D0A">
      <w:pPr>
        <w:spacing w:after="0"/>
        <w:jc w:val="both"/>
      </w:pPr>
      <w:r>
        <w:t>12.3. Estados del IVV</w:t>
      </w:r>
      <w:r w:rsidR="00575824">
        <w:t>.</w:t>
      </w:r>
    </w:p>
    <w:p w:rsidR="00921D5C" w:rsidRDefault="00921D5C" w:rsidP="006E4D0A">
      <w:pPr>
        <w:spacing w:after="0"/>
        <w:jc w:val="both"/>
      </w:pPr>
    </w:p>
    <w:p w:rsidR="00921D5C" w:rsidRPr="00F5067C" w:rsidRDefault="00DD5ADE" w:rsidP="006E4D0A">
      <w:pPr>
        <w:spacing w:after="0"/>
        <w:jc w:val="both"/>
      </w:pPr>
      <w:r>
        <w:t>Luego de enviado electrónicamente e</w:t>
      </w:r>
      <w:r w:rsidR="00921D5C" w:rsidRPr="00F5067C">
        <w:t xml:space="preserve">l </w:t>
      </w:r>
      <w:r>
        <w:t xml:space="preserve">IVV, el </w:t>
      </w:r>
      <w:r w:rsidR="00921D5C" w:rsidRPr="00F5067C">
        <w:t>Servicio de Aduanas</w:t>
      </w:r>
      <w:r>
        <w:t xml:space="preserve"> procederá a validarlo y consecuentemente a </w:t>
      </w:r>
      <w:r w:rsidR="00921D5C" w:rsidRPr="00F5067C">
        <w:t>aceptarlo o rechazarlo.</w:t>
      </w:r>
    </w:p>
    <w:p w:rsidR="00595BCF" w:rsidRPr="00F5067C" w:rsidRDefault="00595BCF" w:rsidP="006E4D0A">
      <w:pPr>
        <w:spacing w:after="0"/>
        <w:jc w:val="both"/>
      </w:pPr>
    </w:p>
    <w:p w:rsidR="00595BCF" w:rsidRPr="00617559" w:rsidRDefault="00575824" w:rsidP="006E4D0A">
      <w:pPr>
        <w:spacing w:after="0"/>
        <w:jc w:val="both"/>
      </w:pPr>
      <w:r>
        <w:t xml:space="preserve">Si a su </w:t>
      </w:r>
      <w:r w:rsidR="00595BCF" w:rsidRPr="00F5067C">
        <w:t xml:space="preserve"> p</w:t>
      </w:r>
      <w:r>
        <w:t xml:space="preserve">resentación el IVV </w:t>
      </w:r>
      <w:r w:rsidR="00595BCF" w:rsidRPr="00F5067C">
        <w:t>es rechazado,</w:t>
      </w:r>
      <w:r w:rsidR="00326517">
        <w:t xml:space="preserve"> </w:t>
      </w:r>
      <w:r w:rsidR="00617559">
        <w:t>se podrá volver a presentarlo, e</w:t>
      </w:r>
      <w:r w:rsidR="00755FB1">
        <w:t xml:space="preserve">n los términos que se indican: </w:t>
      </w:r>
    </w:p>
    <w:p w:rsidR="00930EDD" w:rsidRPr="00617559" w:rsidRDefault="00930EDD" w:rsidP="006E4D0A">
      <w:pPr>
        <w:spacing w:after="0"/>
        <w:jc w:val="both"/>
        <w:rPr>
          <w:strike/>
        </w:rPr>
      </w:pPr>
    </w:p>
    <w:p w:rsidR="00930EDD" w:rsidRPr="00755FB1" w:rsidRDefault="00930EDD" w:rsidP="00833CAB">
      <w:pPr>
        <w:pStyle w:val="Prrafodelista"/>
        <w:numPr>
          <w:ilvl w:val="0"/>
          <w:numId w:val="3"/>
        </w:numPr>
        <w:spacing w:after="0"/>
        <w:jc w:val="both"/>
      </w:pPr>
      <w:r w:rsidRPr="00F5067C">
        <w:t xml:space="preserve">Si a la fecha de rechazo del IVV, el plazo de vencimiento está vigente y es mayor a 15 días corridos, se mantiene la fecha de vencimiento original. Si en ese plazo no es presentado un nuevo IVV, </w:t>
      </w:r>
      <w:r w:rsidRPr="00755FB1">
        <w:t>se entenderá que el IVV no ha sido presentado y se aplicará la infracción de la letra o) del Artículo 176 de la OA.</w:t>
      </w:r>
    </w:p>
    <w:p w:rsidR="00617559" w:rsidRPr="00F5067C" w:rsidRDefault="00617559" w:rsidP="00617559">
      <w:pPr>
        <w:pStyle w:val="Prrafodelista"/>
        <w:spacing w:after="0"/>
        <w:jc w:val="both"/>
      </w:pPr>
    </w:p>
    <w:p w:rsidR="00930EDD" w:rsidRDefault="00930EDD" w:rsidP="00833CAB">
      <w:pPr>
        <w:pStyle w:val="Prrafodelista"/>
        <w:numPr>
          <w:ilvl w:val="0"/>
          <w:numId w:val="3"/>
        </w:numPr>
        <w:spacing w:after="0"/>
        <w:jc w:val="both"/>
      </w:pPr>
      <w:r w:rsidRPr="00F5067C">
        <w:t xml:space="preserve">Si a la fecha de rechazo del IVV, el plazo de vencimiento está vigente, pero es menor a 15 días corridos, se otorga un plazo de 15 días corridos, respecto de la fecha de </w:t>
      </w:r>
      <w:r w:rsidR="00AA7395" w:rsidRPr="00F5067C">
        <w:t>rechazo para volver a presentarlo</w:t>
      </w:r>
      <w:r w:rsidRPr="00F5067C">
        <w:t xml:space="preserve">. </w:t>
      </w:r>
      <w:r w:rsidRPr="00755FB1">
        <w:t>Si en ese plazo no es presentado un nuevo IVV, se entenderá que el IVV no ha sido presentado y se aplicará la infracción de la letra o) del Artículo 176 de la OA.</w:t>
      </w:r>
    </w:p>
    <w:p w:rsidR="00D035A4" w:rsidRDefault="00D035A4" w:rsidP="00D035A4">
      <w:pPr>
        <w:pStyle w:val="Prrafodelista"/>
      </w:pPr>
    </w:p>
    <w:p w:rsidR="00D035A4" w:rsidRPr="00755FB1" w:rsidRDefault="00D035A4" w:rsidP="006B6D47">
      <w:pPr>
        <w:spacing w:after="0"/>
        <w:jc w:val="both"/>
      </w:pPr>
    </w:p>
    <w:p w:rsidR="00617559" w:rsidRDefault="00617559" w:rsidP="00617559">
      <w:pPr>
        <w:pStyle w:val="Prrafodelista"/>
        <w:spacing w:after="0"/>
        <w:jc w:val="both"/>
        <w:rPr>
          <w:b/>
        </w:rPr>
      </w:pPr>
    </w:p>
    <w:p w:rsidR="00921D5C" w:rsidRPr="00F5067C" w:rsidRDefault="00921D5C" w:rsidP="00F5067C">
      <w:pPr>
        <w:spacing w:after="0"/>
        <w:jc w:val="both"/>
      </w:pPr>
      <w:r w:rsidRPr="00F5067C">
        <w:t xml:space="preserve">12.4.  Reglas específicas en el caso de tramitación IVV de </w:t>
      </w:r>
      <w:r w:rsidR="008F3E42" w:rsidRPr="00F5067C">
        <w:t xml:space="preserve">productos </w:t>
      </w:r>
      <w:r w:rsidRPr="00F5067C">
        <w:t>mineros</w:t>
      </w:r>
      <w:r w:rsidR="00057755">
        <w:t>.</w:t>
      </w:r>
    </w:p>
    <w:p w:rsidR="00E60FE9" w:rsidRDefault="00E60FE9" w:rsidP="00F5067C">
      <w:pPr>
        <w:spacing w:after="0"/>
        <w:jc w:val="both"/>
      </w:pPr>
    </w:p>
    <w:p w:rsidR="00921D5C" w:rsidRDefault="00921D5C" w:rsidP="00F5067C">
      <w:pPr>
        <w:spacing w:after="0"/>
        <w:jc w:val="both"/>
      </w:pPr>
      <w:r w:rsidRPr="00F5067C">
        <w:t>Para este tipo de productos, la cantidad de mercancías consignada en el campo correspondiente del ítem del IVV debe corresponder a los kilos netos húmedos.</w:t>
      </w:r>
    </w:p>
    <w:p w:rsidR="00617559" w:rsidRDefault="00617559" w:rsidP="00F5067C">
      <w:pPr>
        <w:spacing w:after="0"/>
        <w:jc w:val="both"/>
      </w:pPr>
    </w:p>
    <w:p w:rsidR="00921D5C" w:rsidRPr="00F5067C" w:rsidRDefault="00921D5C" w:rsidP="00F5067C">
      <w:pPr>
        <w:spacing w:after="0"/>
        <w:jc w:val="both"/>
      </w:pPr>
      <w:r w:rsidRPr="00F5067C">
        <w:t>1</w:t>
      </w:r>
      <w:r w:rsidR="00057755">
        <w:t>2.5. Comisión Chilena del Cobre.</w:t>
      </w:r>
    </w:p>
    <w:p w:rsidR="00E60FE9" w:rsidRDefault="00E60FE9" w:rsidP="00F5067C">
      <w:pPr>
        <w:spacing w:after="0"/>
        <w:jc w:val="both"/>
      </w:pPr>
    </w:p>
    <w:p w:rsidR="00DE0DA9" w:rsidRDefault="00921D5C" w:rsidP="00F5067C">
      <w:pPr>
        <w:spacing w:after="0"/>
        <w:jc w:val="both"/>
      </w:pPr>
      <w:r w:rsidRPr="00F5067C">
        <w:lastRenderedPageBreak/>
        <w:t xml:space="preserve">La Comisión Chilena del Cobre informará </w:t>
      </w:r>
      <w:r w:rsidR="00DE0DA9">
        <w:t xml:space="preserve">al Servicio de Aduanas </w:t>
      </w:r>
      <w:r w:rsidR="00252291" w:rsidRPr="00F5067C">
        <w:t xml:space="preserve">si </w:t>
      </w:r>
      <w:r w:rsidRPr="00F5067C">
        <w:t>el precio declarado en el IVV de las exportaciones de cobre y sus subproductos corresponda a aquellos que corrientemente tengan los mismos en el mercado internacional.</w:t>
      </w:r>
    </w:p>
    <w:p w:rsidR="00940443" w:rsidRDefault="00940443" w:rsidP="00F5067C">
      <w:pPr>
        <w:spacing w:after="0"/>
        <w:jc w:val="both"/>
      </w:pPr>
    </w:p>
    <w:p w:rsidR="00940443" w:rsidRDefault="006F1C2F" w:rsidP="006F1C2F">
      <w:pPr>
        <w:pStyle w:val="Prrafodelista"/>
        <w:numPr>
          <w:ilvl w:val="0"/>
          <w:numId w:val="4"/>
        </w:numPr>
        <w:spacing w:after="0"/>
        <w:jc w:val="both"/>
      </w:pPr>
      <w:r>
        <w:t xml:space="preserve"> Como consecuencia de </w:t>
      </w:r>
      <w:r w:rsidR="004B6C6F">
        <w:t>lo anterior</w:t>
      </w:r>
      <w:r>
        <w:t>, sustituyánse las hojas</w:t>
      </w:r>
      <w:r w:rsidR="004B6C6F">
        <w:t xml:space="preserve"> CAP. IV-28 al CAP. IV-3</w:t>
      </w:r>
      <w:r w:rsidR="002D2EC4">
        <w:t>1</w:t>
      </w:r>
      <w:r w:rsidR="004B6C6F">
        <w:t>, por las que se adjuntan a la presente resolución</w:t>
      </w:r>
      <w:r w:rsidR="002D2EC4">
        <w:t>, y elíminese la hoja CAP. IV-32.</w:t>
      </w:r>
    </w:p>
    <w:p w:rsidR="006F1C2F" w:rsidRDefault="006F1C2F" w:rsidP="00F5067C">
      <w:pPr>
        <w:spacing w:after="0"/>
        <w:jc w:val="both"/>
      </w:pPr>
    </w:p>
    <w:p w:rsidR="00940443" w:rsidRDefault="00940443" w:rsidP="00940443">
      <w:pPr>
        <w:pStyle w:val="Prrafodelista"/>
        <w:numPr>
          <w:ilvl w:val="0"/>
          <w:numId w:val="4"/>
        </w:numPr>
        <w:jc w:val="both"/>
      </w:pPr>
      <w:r w:rsidRPr="00755FB1">
        <w:t xml:space="preserve">Esta Resolución empezará a regir a </w:t>
      </w:r>
      <w:r w:rsidRPr="006B6D47">
        <w:t xml:space="preserve">contar del 01 de enero de 2015, </w:t>
      </w:r>
      <w:r w:rsidR="007E2C2E" w:rsidRPr="006B6D47">
        <w:t xml:space="preserve">y sus normas serán aplicables </w:t>
      </w:r>
      <w:r w:rsidR="00575824" w:rsidRPr="006B6D47">
        <w:t>para aquellos DUS aceptados a trámite a partir</w:t>
      </w:r>
      <w:r w:rsidR="00575824">
        <w:t xml:space="preserve"> de dicha</w:t>
      </w:r>
      <w:r w:rsidRPr="00755FB1">
        <w:t xml:space="preserve"> fecha.</w:t>
      </w:r>
    </w:p>
    <w:p w:rsidR="00D035A4" w:rsidRDefault="00D035A4" w:rsidP="00D035A4">
      <w:pPr>
        <w:pStyle w:val="Prrafodelista"/>
      </w:pPr>
    </w:p>
    <w:p w:rsidR="00F8316F" w:rsidRDefault="00F8316F" w:rsidP="00D035A4">
      <w:pPr>
        <w:jc w:val="both"/>
        <w:rPr>
          <w:b/>
        </w:rPr>
      </w:pPr>
    </w:p>
    <w:p w:rsidR="006B6D47" w:rsidRDefault="006B6D47" w:rsidP="00D035A4">
      <w:pPr>
        <w:jc w:val="both"/>
        <w:rPr>
          <w:b/>
        </w:rPr>
      </w:pPr>
    </w:p>
    <w:p w:rsidR="006B6D47" w:rsidRDefault="006B6D47" w:rsidP="00D035A4">
      <w:pPr>
        <w:jc w:val="both"/>
        <w:rPr>
          <w:b/>
        </w:rPr>
      </w:pPr>
    </w:p>
    <w:p w:rsidR="006B6D47" w:rsidRPr="00740575" w:rsidRDefault="006B6D47" w:rsidP="00D035A4">
      <w:pPr>
        <w:jc w:val="both"/>
        <w:rPr>
          <w:b/>
        </w:rPr>
      </w:pPr>
    </w:p>
    <w:p w:rsidR="00F8316F" w:rsidRPr="00940443" w:rsidRDefault="00940443" w:rsidP="00940443">
      <w:pPr>
        <w:jc w:val="both"/>
        <w:rPr>
          <w:rFonts w:asciiTheme="minorHAnsi" w:hAnsiTheme="minorHAnsi" w:cs="Arial"/>
          <w:b/>
        </w:rPr>
      </w:pPr>
      <w:r w:rsidRPr="00940443">
        <w:rPr>
          <w:rFonts w:asciiTheme="minorHAnsi" w:hAnsiTheme="minorHAnsi" w:cs="Arial"/>
          <w:b/>
        </w:rPr>
        <w:t>ANOTESE, COMUNIQUESE Y PUBLIQUESE EN EL DIARIO OFICIAL Y EN LA PÁGINA WEB DEL SERVICIO</w:t>
      </w:r>
      <w:r w:rsidR="00F8316F">
        <w:rPr>
          <w:rFonts w:asciiTheme="minorHAnsi" w:hAnsiTheme="minorHAnsi" w:cs="Arial"/>
          <w:b/>
        </w:rPr>
        <w:t xml:space="preserve">.            </w:t>
      </w:r>
    </w:p>
    <w:p w:rsidR="00940443" w:rsidRPr="00940443" w:rsidRDefault="00940443" w:rsidP="00940443">
      <w:pPr>
        <w:jc w:val="center"/>
        <w:rPr>
          <w:rFonts w:asciiTheme="minorHAnsi" w:hAnsiTheme="minorHAnsi" w:cs="Arial"/>
          <w:b/>
        </w:rPr>
      </w:pPr>
      <w:r w:rsidRPr="00940443">
        <w:rPr>
          <w:rFonts w:asciiTheme="minorHAnsi" w:hAnsiTheme="minorHAnsi" w:cs="Arial"/>
          <w:b/>
        </w:rPr>
        <w:t xml:space="preserve">     </w:t>
      </w:r>
      <w:r w:rsidR="00F8316F">
        <w:rPr>
          <w:rFonts w:asciiTheme="minorHAnsi" w:hAnsiTheme="minorHAnsi" w:cs="Arial"/>
          <w:b/>
        </w:rPr>
        <w:t xml:space="preserve">                               </w:t>
      </w:r>
      <w:r>
        <w:rPr>
          <w:rFonts w:asciiTheme="minorHAnsi" w:hAnsiTheme="minorHAnsi" w:cs="Arial"/>
          <w:b/>
        </w:rPr>
        <w:t>GONZALO PEREIRA PUCHY</w:t>
      </w:r>
    </w:p>
    <w:p w:rsidR="00940443" w:rsidRPr="00940443" w:rsidRDefault="00940443" w:rsidP="00940443">
      <w:pPr>
        <w:jc w:val="both"/>
        <w:rPr>
          <w:rFonts w:asciiTheme="minorHAnsi" w:hAnsiTheme="minorHAnsi" w:cs="Arial"/>
          <w:b/>
        </w:rPr>
      </w:pPr>
      <w:r w:rsidRPr="00940443">
        <w:rPr>
          <w:rFonts w:asciiTheme="minorHAnsi" w:hAnsiTheme="minorHAnsi" w:cs="Arial"/>
          <w:b/>
        </w:rPr>
        <w:t xml:space="preserve">                                              </w:t>
      </w:r>
      <w:r>
        <w:rPr>
          <w:rFonts w:asciiTheme="minorHAnsi" w:hAnsiTheme="minorHAnsi" w:cs="Arial"/>
          <w:b/>
        </w:rPr>
        <w:t xml:space="preserve">                </w:t>
      </w:r>
      <w:r w:rsidRPr="00940443">
        <w:rPr>
          <w:rFonts w:asciiTheme="minorHAnsi" w:hAnsiTheme="minorHAnsi" w:cs="Arial"/>
          <w:b/>
        </w:rPr>
        <w:t xml:space="preserve">  </w:t>
      </w:r>
      <w:r>
        <w:rPr>
          <w:rFonts w:asciiTheme="minorHAnsi" w:hAnsiTheme="minorHAnsi" w:cs="Arial"/>
          <w:b/>
        </w:rPr>
        <w:t xml:space="preserve">  </w:t>
      </w:r>
      <w:r w:rsidRPr="00940443">
        <w:rPr>
          <w:rFonts w:asciiTheme="minorHAnsi" w:hAnsiTheme="minorHAnsi" w:cs="Arial"/>
          <w:b/>
        </w:rPr>
        <w:t xml:space="preserve">      </w:t>
      </w:r>
      <w:r w:rsidR="007E2C2E">
        <w:rPr>
          <w:rFonts w:asciiTheme="minorHAnsi" w:hAnsiTheme="minorHAnsi" w:cs="Arial"/>
          <w:b/>
        </w:rPr>
        <w:t xml:space="preserve">   </w:t>
      </w:r>
      <w:r w:rsidRPr="00940443">
        <w:rPr>
          <w:rFonts w:asciiTheme="minorHAnsi" w:hAnsiTheme="minorHAnsi" w:cs="Arial"/>
          <w:b/>
        </w:rPr>
        <w:t>DIRECTOR NACIONAL DE ADUANAS</w:t>
      </w:r>
    </w:p>
    <w:p w:rsidR="00940443" w:rsidRPr="00940443" w:rsidRDefault="00940443" w:rsidP="00940443">
      <w:pPr>
        <w:jc w:val="both"/>
        <w:rPr>
          <w:rFonts w:asciiTheme="minorHAnsi" w:hAnsiTheme="minorHAnsi" w:cs="Arial"/>
          <w:b/>
        </w:rPr>
      </w:pPr>
    </w:p>
    <w:p w:rsidR="00940443" w:rsidRPr="00940443" w:rsidRDefault="00940443" w:rsidP="00940443">
      <w:pPr>
        <w:jc w:val="both"/>
        <w:rPr>
          <w:rFonts w:asciiTheme="minorHAnsi" w:hAnsiTheme="minorHAnsi" w:cs="Arial"/>
        </w:rPr>
      </w:pPr>
      <w:r>
        <w:rPr>
          <w:rFonts w:asciiTheme="minorHAnsi" w:hAnsiTheme="minorHAnsi" w:cs="Arial"/>
        </w:rPr>
        <w:t>AAL</w:t>
      </w:r>
      <w:r w:rsidRPr="00940443">
        <w:rPr>
          <w:rFonts w:asciiTheme="minorHAnsi" w:hAnsiTheme="minorHAnsi" w:cs="Arial"/>
        </w:rPr>
        <w:t>/</w:t>
      </w:r>
      <w:r>
        <w:rPr>
          <w:rFonts w:asciiTheme="minorHAnsi" w:hAnsiTheme="minorHAnsi" w:cs="Arial"/>
        </w:rPr>
        <w:t>PAG/JLCM</w:t>
      </w:r>
      <w:r w:rsidRPr="00940443">
        <w:rPr>
          <w:rFonts w:asciiTheme="minorHAnsi" w:hAnsiTheme="minorHAnsi" w:cs="Arial"/>
        </w:rPr>
        <w:t>/</w:t>
      </w:r>
      <w:r w:rsidR="00EC0335">
        <w:rPr>
          <w:rFonts w:asciiTheme="minorHAnsi" w:hAnsiTheme="minorHAnsi" w:cs="Arial"/>
        </w:rPr>
        <w:t>GFA</w:t>
      </w:r>
      <w:r w:rsidRPr="00940443">
        <w:rPr>
          <w:rFonts w:asciiTheme="minorHAnsi" w:hAnsiTheme="minorHAnsi" w:cs="Arial"/>
        </w:rPr>
        <w:t>/</w:t>
      </w:r>
      <w:r w:rsidR="00EC0335">
        <w:rPr>
          <w:rFonts w:asciiTheme="minorHAnsi" w:hAnsiTheme="minorHAnsi" w:cs="Arial"/>
        </w:rPr>
        <w:t>GLH</w:t>
      </w:r>
      <w:r w:rsidRPr="00940443">
        <w:rPr>
          <w:rFonts w:asciiTheme="minorHAnsi" w:hAnsiTheme="minorHAnsi" w:cs="Arial"/>
        </w:rPr>
        <w:t>/</w:t>
      </w:r>
      <w:r w:rsidR="00EC0335">
        <w:rPr>
          <w:rFonts w:asciiTheme="minorHAnsi" w:hAnsiTheme="minorHAnsi" w:cs="Arial"/>
        </w:rPr>
        <w:t>RPV</w:t>
      </w:r>
      <w:r w:rsidRPr="00940443">
        <w:rPr>
          <w:rFonts w:asciiTheme="minorHAnsi" w:hAnsiTheme="minorHAnsi" w:cs="Arial"/>
        </w:rPr>
        <w:t>/</w:t>
      </w:r>
    </w:p>
    <w:p w:rsidR="00940443" w:rsidRPr="00940443" w:rsidRDefault="00940443" w:rsidP="00940443">
      <w:pPr>
        <w:jc w:val="both"/>
        <w:rPr>
          <w:rFonts w:asciiTheme="minorHAnsi" w:hAnsiTheme="minorHAnsi"/>
        </w:rPr>
      </w:pPr>
    </w:p>
    <w:sectPr w:rsidR="00940443" w:rsidRPr="00940443" w:rsidSect="001064D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ACE"/>
    <w:multiLevelType w:val="hybridMultilevel"/>
    <w:tmpl w:val="9EE40DF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F0D172B"/>
    <w:multiLevelType w:val="hybridMultilevel"/>
    <w:tmpl w:val="598A9050"/>
    <w:lvl w:ilvl="0" w:tplc="10A4EA0C">
      <w:start w:val="2"/>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
    <w:nsid w:val="77332C8A"/>
    <w:multiLevelType w:val="hybridMultilevel"/>
    <w:tmpl w:val="19CE63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BB7440"/>
    <w:multiLevelType w:val="hybridMultilevel"/>
    <w:tmpl w:val="0BA28B7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A3"/>
    <w:rsid w:val="000241EA"/>
    <w:rsid w:val="00025E88"/>
    <w:rsid w:val="00057755"/>
    <w:rsid w:val="00085E28"/>
    <w:rsid w:val="00087D0F"/>
    <w:rsid w:val="000B784B"/>
    <w:rsid w:val="0010305E"/>
    <w:rsid w:val="001049F3"/>
    <w:rsid w:val="001064D2"/>
    <w:rsid w:val="0012088C"/>
    <w:rsid w:val="0012423C"/>
    <w:rsid w:val="001265A0"/>
    <w:rsid w:val="001348E1"/>
    <w:rsid w:val="00164FAC"/>
    <w:rsid w:val="00191336"/>
    <w:rsid w:val="001B41CC"/>
    <w:rsid w:val="001F3E2A"/>
    <w:rsid w:val="00217722"/>
    <w:rsid w:val="00252291"/>
    <w:rsid w:val="002D2EC4"/>
    <w:rsid w:val="002E6BA4"/>
    <w:rsid w:val="00326517"/>
    <w:rsid w:val="003265C6"/>
    <w:rsid w:val="00331AFD"/>
    <w:rsid w:val="0034641A"/>
    <w:rsid w:val="00357E73"/>
    <w:rsid w:val="00391CBF"/>
    <w:rsid w:val="003953F1"/>
    <w:rsid w:val="003E5482"/>
    <w:rsid w:val="00421052"/>
    <w:rsid w:val="00425821"/>
    <w:rsid w:val="00433B03"/>
    <w:rsid w:val="00440818"/>
    <w:rsid w:val="00447A19"/>
    <w:rsid w:val="004701FD"/>
    <w:rsid w:val="00471BFC"/>
    <w:rsid w:val="00487CD6"/>
    <w:rsid w:val="004B6C6F"/>
    <w:rsid w:val="004C4569"/>
    <w:rsid w:val="004D769D"/>
    <w:rsid w:val="004F4C52"/>
    <w:rsid w:val="005729BF"/>
    <w:rsid w:val="00572A4B"/>
    <w:rsid w:val="00575824"/>
    <w:rsid w:val="00584AA2"/>
    <w:rsid w:val="00590291"/>
    <w:rsid w:val="00595BCF"/>
    <w:rsid w:val="005C636F"/>
    <w:rsid w:val="005D1FBE"/>
    <w:rsid w:val="00617559"/>
    <w:rsid w:val="00652636"/>
    <w:rsid w:val="006B6D47"/>
    <w:rsid w:val="006C106D"/>
    <w:rsid w:val="006E4D0A"/>
    <w:rsid w:val="006F1C2F"/>
    <w:rsid w:val="00707BF3"/>
    <w:rsid w:val="00740575"/>
    <w:rsid w:val="00755FB1"/>
    <w:rsid w:val="00790685"/>
    <w:rsid w:val="007E2C2E"/>
    <w:rsid w:val="008025B6"/>
    <w:rsid w:val="008159BB"/>
    <w:rsid w:val="00833CAB"/>
    <w:rsid w:val="008520A3"/>
    <w:rsid w:val="00873C63"/>
    <w:rsid w:val="008A0F51"/>
    <w:rsid w:val="008B76F4"/>
    <w:rsid w:val="008E3372"/>
    <w:rsid w:val="008F3E42"/>
    <w:rsid w:val="00921D5C"/>
    <w:rsid w:val="00930EDD"/>
    <w:rsid w:val="00940443"/>
    <w:rsid w:val="00986E07"/>
    <w:rsid w:val="009A0AE1"/>
    <w:rsid w:val="009A3AE2"/>
    <w:rsid w:val="009E2FBA"/>
    <w:rsid w:val="00A33A37"/>
    <w:rsid w:val="00A63706"/>
    <w:rsid w:val="00AA22E0"/>
    <w:rsid w:val="00AA7395"/>
    <w:rsid w:val="00AE0772"/>
    <w:rsid w:val="00AE79EF"/>
    <w:rsid w:val="00AF2479"/>
    <w:rsid w:val="00B058D1"/>
    <w:rsid w:val="00B0764C"/>
    <w:rsid w:val="00BD382B"/>
    <w:rsid w:val="00C10EAB"/>
    <w:rsid w:val="00C1496D"/>
    <w:rsid w:val="00C734FA"/>
    <w:rsid w:val="00C82B7B"/>
    <w:rsid w:val="00CA59C5"/>
    <w:rsid w:val="00CB344F"/>
    <w:rsid w:val="00CC1E07"/>
    <w:rsid w:val="00CD04F1"/>
    <w:rsid w:val="00CD19A7"/>
    <w:rsid w:val="00CD60A0"/>
    <w:rsid w:val="00CF6191"/>
    <w:rsid w:val="00D035A4"/>
    <w:rsid w:val="00D678A6"/>
    <w:rsid w:val="00D72E09"/>
    <w:rsid w:val="00D84384"/>
    <w:rsid w:val="00D90D4D"/>
    <w:rsid w:val="00DB2FB9"/>
    <w:rsid w:val="00DC1B19"/>
    <w:rsid w:val="00DC345E"/>
    <w:rsid w:val="00DD5ADE"/>
    <w:rsid w:val="00DE03AC"/>
    <w:rsid w:val="00DE0DA9"/>
    <w:rsid w:val="00DF7E94"/>
    <w:rsid w:val="00E41BCB"/>
    <w:rsid w:val="00E51F3D"/>
    <w:rsid w:val="00E60FE9"/>
    <w:rsid w:val="00E63DAE"/>
    <w:rsid w:val="00EA2F38"/>
    <w:rsid w:val="00EC0335"/>
    <w:rsid w:val="00EC0527"/>
    <w:rsid w:val="00F171A2"/>
    <w:rsid w:val="00F40121"/>
    <w:rsid w:val="00F5067C"/>
    <w:rsid w:val="00F65D86"/>
    <w:rsid w:val="00F8316F"/>
    <w:rsid w:val="00F9370A"/>
    <w:rsid w:val="00FE22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6D"/>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208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2088C"/>
    <w:rPr>
      <w:rFonts w:ascii="Tahoma" w:hAnsi="Tahoma" w:cs="Tahoma"/>
      <w:sz w:val="16"/>
      <w:szCs w:val="16"/>
    </w:rPr>
  </w:style>
  <w:style w:type="character" w:styleId="Refdecomentario">
    <w:name w:val="annotation reference"/>
    <w:basedOn w:val="Fuentedeprrafopredeter"/>
    <w:uiPriority w:val="99"/>
    <w:semiHidden/>
    <w:rsid w:val="00590291"/>
    <w:rPr>
      <w:sz w:val="16"/>
      <w:szCs w:val="16"/>
    </w:rPr>
  </w:style>
  <w:style w:type="paragraph" w:styleId="Textocomentario">
    <w:name w:val="annotation text"/>
    <w:basedOn w:val="Normal"/>
    <w:link w:val="TextocomentarioCar"/>
    <w:uiPriority w:val="99"/>
    <w:semiHidden/>
    <w:rsid w:val="00590291"/>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590291"/>
    <w:rPr>
      <w:sz w:val="20"/>
      <w:szCs w:val="20"/>
    </w:rPr>
  </w:style>
  <w:style w:type="paragraph" w:styleId="Asuntodelcomentario">
    <w:name w:val="annotation subject"/>
    <w:basedOn w:val="Textocomentario"/>
    <w:next w:val="Textocomentario"/>
    <w:link w:val="AsuntodelcomentarioCar"/>
    <w:uiPriority w:val="99"/>
    <w:semiHidden/>
    <w:rsid w:val="00590291"/>
    <w:rPr>
      <w:b/>
      <w:bCs/>
    </w:rPr>
  </w:style>
  <w:style w:type="character" w:customStyle="1" w:styleId="AsuntodelcomentarioCar">
    <w:name w:val="Asunto del comentario Car"/>
    <w:basedOn w:val="TextocomentarioCar"/>
    <w:link w:val="Asuntodelcomentario"/>
    <w:uiPriority w:val="99"/>
    <w:semiHidden/>
    <w:locked/>
    <w:rsid w:val="00590291"/>
    <w:rPr>
      <w:b/>
      <w:bCs/>
      <w:sz w:val="20"/>
      <w:szCs w:val="20"/>
    </w:rPr>
  </w:style>
  <w:style w:type="paragraph" w:styleId="NormalWeb">
    <w:name w:val="Normal (Web)"/>
    <w:basedOn w:val="Normal"/>
    <w:uiPriority w:val="99"/>
    <w:rsid w:val="00B0764C"/>
    <w:pPr>
      <w:spacing w:before="100" w:beforeAutospacing="1" w:after="100" w:afterAutospacing="1" w:line="240" w:lineRule="auto"/>
    </w:pPr>
    <w:rPr>
      <w:sz w:val="24"/>
      <w:szCs w:val="24"/>
      <w:lang w:val="es-ES" w:eastAsia="es-ES"/>
    </w:rPr>
  </w:style>
  <w:style w:type="character" w:styleId="Textoennegrita">
    <w:name w:val="Strong"/>
    <w:basedOn w:val="Fuentedeprrafopredeter"/>
    <w:uiPriority w:val="99"/>
    <w:qFormat/>
    <w:locked/>
    <w:rsid w:val="00B0764C"/>
    <w:rPr>
      <w:b/>
      <w:bCs/>
    </w:rPr>
  </w:style>
  <w:style w:type="character" w:customStyle="1" w:styleId="apple-converted-space">
    <w:name w:val="apple-converted-space"/>
    <w:basedOn w:val="Fuentedeprrafopredeter"/>
    <w:uiPriority w:val="99"/>
    <w:rsid w:val="00B0764C"/>
  </w:style>
  <w:style w:type="table" w:styleId="Tablaconcuadrcula">
    <w:name w:val="Table Grid"/>
    <w:basedOn w:val="Tablanormal"/>
    <w:uiPriority w:val="59"/>
    <w:locked/>
    <w:rsid w:val="00471BF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30E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6D"/>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208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2088C"/>
    <w:rPr>
      <w:rFonts w:ascii="Tahoma" w:hAnsi="Tahoma" w:cs="Tahoma"/>
      <w:sz w:val="16"/>
      <w:szCs w:val="16"/>
    </w:rPr>
  </w:style>
  <w:style w:type="character" w:styleId="Refdecomentario">
    <w:name w:val="annotation reference"/>
    <w:basedOn w:val="Fuentedeprrafopredeter"/>
    <w:uiPriority w:val="99"/>
    <w:semiHidden/>
    <w:rsid w:val="00590291"/>
    <w:rPr>
      <w:sz w:val="16"/>
      <w:szCs w:val="16"/>
    </w:rPr>
  </w:style>
  <w:style w:type="paragraph" w:styleId="Textocomentario">
    <w:name w:val="annotation text"/>
    <w:basedOn w:val="Normal"/>
    <w:link w:val="TextocomentarioCar"/>
    <w:uiPriority w:val="99"/>
    <w:semiHidden/>
    <w:rsid w:val="00590291"/>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590291"/>
    <w:rPr>
      <w:sz w:val="20"/>
      <w:szCs w:val="20"/>
    </w:rPr>
  </w:style>
  <w:style w:type="paragraph" w:styleId="Asuntodelcomentario">
    <w:name w:val="annotation subject"/>
    <w:basedOn w:val="Textocomentario"/>
    <w:next w:val="Textocomentario"/>
    <w:link w:val="AsuntodelcomentarioCar"/>
    <w:uiPriority w:val="99"/>
    <w:semiHidden/>
    <w:rsid w:val="00590291"/>
    <w:rPr>
      <w:b/>
      <w:bCs/>
    </w:rPr>
  </w:style>
  <w:style w:type="character" w:customStyle="1" w:styleId="AsuntodelcomentarioCar">
    <w:name w:val="Asunto del comentario Car"/>
    <w:basedOn w:val="TextocomentarioCar"/>
    <w:link w:val="Asuntodelcomentario"/>
    <w:uiPriority w:val="99"/>
    <w:semiHidden/>
    <w:locked/>
    <w:rsid w:val="00590291"/>
    <w:rPr>
      <w:b/>
      <w:bCs/>
      <w:sz w:val="20"/>
      <w:szCs w:val="20"/>
    </w:rPr>
  </w:style>
  <w:style w:type="paragraph" w:styleId="NormalWeb">
    <w:name w:val="Normal (Web)"/>
    <w:basedOn w:val="Normal"/>
    <w:uiPriority w:val="99"/>
    <w:rsid w:val="00B0764C"/>
    <w:pPr>
      <w:spacing w:before="100" w:beforeAutospacing="1" w:after="100" w:afterAutospacing="1" w:line="240" w:lineRule="auto"/>
    </w:pPr>
    <w:rPr>
      <w:sz w:val="24"/>
      <w:szCs w:val="24"/>
      <w:lang w:val="es-ES" w:eastAsia="es-ES"/>
    </w:rPr>
  </w:style>
  <w:style w:type="character" w:styleId="Textoennegrita">
    <w:name w:val="Strong"/>
    <w:basedOn w:val="Fuentedeprrafopredeter"/>
    <w:uiPriority w:val="99"/>
    <w:qFormat/>
    <w:locked/>
    <w:rsid w:val="00B0764C"/>
    <w:rPr>
      <w:b/>
      <w:bCs/>
    </w:rPr>
  </w:style>
  <w:style w:type="character" w:customStyle="1" w:styleId="apple-converted-space">
    <w:name w:val="apple-converted-space"/>
    <w:basedOn w:val="Fuentedeprrafopredeter"/>
    <w:uiPriority w:val="99"/>
    <w:rsid w:val="00B0764C"/>
  </w:style>
  <w:style w:type="table" w:styleId="Tablaconcuadrcula">
    <w:name w:val="Table Grid"/>
    <w:basedOn w:val="Tablanormal"/>
    <w:uiPriority w:val="59"/>
    <w:locked/>
    <w:rsid w:val="00471BF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30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40D5C-FCA2-4CA9-A7F4-F1787F2B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Capítulo IV: Salida de Mercancías</vt:lpstr>
    </vt:vector>
  </TitlesOfParts>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IV: Salida de Mercancías</dc:title>
  <dc:creator>Rodolfo Espinoza Santelices</dc:creator>
  <cp:lastModifiedBy>Rodolfo Espinoza Santelices</cp:lastModifiedBy>
  <cp:revision>2</cp:revision>
  <cp:lastPrinted>2014-11-27T20:16:00Z</cp:lastPrinted>
  <dcterms:created xsi:type="dcterms:W3CDTF">2014-12-04T20:19:00Z</dcterms:created>
  <dcterms:modified xsi:type="dcterms:W3CDTF">2014-12-04T20:19:00Z</dcterms:modified>
</cp:coreProperties>
</file>