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17" w:rsidRDefault="00983808" w:rsidP="00B34E17">
      <w:pPr>
        <w:spacing w:after="0" w:line="240" w:lineRule="auto"/>
      </w:pPr>
      <w:bookmarkStart w:id="0" w:name="_GoBack"/>
      <w:bookmarkEnd w:id="0"/>
      <w:r w:rsidRPr="002768AD">
        <w:rPr>
          <w:rFonts w:ascii="Arial" w:eastAsia="Times New Roman" w:hAnsi="Arial" w:cs="Times New Roman"/>
          <w:noProof/>
          <w:szCs w:val="20"/>
          <w:lang w:eastAsia="es-CL"/>
        </w:rPr>
        <w:drawing>
          <wp:inline distT="0" distB="0" distL="0" distR="0" wp14:anchorId="52CA6870" wp14:editId="3A157252">
            <wp:extent cx="884867" cy="7524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2925" cy="759327"/>
                    </a:xfrm>
                    <a:prstGeom prst="rect">
                      <a:avLst/>
                    </a:prstGeom>
                    <a:noFill/>
                    <a:ln w="9525">
                      <a:noFill/>
                      <a:miter lim="800000"/>
                      <a:headEnd/>
                      <a:tailEnd/>
                    </a:ln>
                  </pic:spPr>
                </pic:pic>
              </a:graphicData>
            </a:graphic>
          </wp:inline>
        </w:drawing>
      </w:r>
      <w:r w:rsidR="00B34E17">
        <w:tab/>
      </w:r>
      <w:r w:rsidR="00B34E17">
        <w:tab/>
      </w:r>
      <w:r w:rsidR="00B34E17">
        <w:tab/>
      </w:r>
      <w:r w:rsidR="00B34E17">
        <w:tab/>
      </w:r>
      <w:r w:rsidR="00B34E17">
        <w:tab/>
      </w:r>
      <w:r w:rsidR="00B34E17">
        <w:tab/>
      </w:r>
      <w:r w:rsidR="00B34E17">
        <w:tab/>
      </w:r>
    </w:p>
    <w:p w:rsidR="00B34E17" w:rsidRPr="00983808" w:rsidRDefault="00B34E17" w:rsidP="00B34E17">
      <w:pPr>
        <w:spacing w:after="0" w:line="240" w:lineRule="auto"/>
        <w:rPr>
          <w:sz w:val="18"/>
        </w:rPr>
      </w:pPr>
      <w:r w:rsidRPr="00983808">
        <w:rPr>
          <w:sz w:val="18"/>
        </w:rPr>
        <w:t>Servicio Nacional de Aduanas</w:t>
      </w:r>
    </w:p>
    <w:p w:rsidR="00B34E17" w:rsidRPr="00B34E17" w:rsidRDefault="00B34E17" w:rsidP="00B34E17">
      <w:pPr>
        <w:spacing w:after="0" w:line="240" w:lineRule="auto"/>
        <w:ind w:left="3540" w:firstLine="1422"/>
        <w:rPr>
          <w:b/>
          <w:sz w:val="20"/>
          <w:szCs w:val="20"/>
        </w:rPr>
      </w:pPr>
      <w:r w:rsidRPr="00B34E17">
        <w:rPr>
          <w:b/>
        </w:rPr>
        <w:t>S</w:t>
      </w:r>
      <w:r w:rsidRPr="00B34E17">
        <w:rPr>
          <w:b/>
          <w:sz w:val="20"/>
          <w:szCs w:val="20"/>
        </w:rPr>
        <w:t>UBDIRECCION TÉCNICA</w:t>
      </w:r>
    </w:p>
    <w:p w:rsidR="00983808" w:rsidRDefault="00B34E17" w:rsidP="00B34E17">
      <w:pPr>
        <w:spacing w:after="0" w:line="240" w:lineRule="auto"/>
        <w:ind w:left="4956" w:firstLine="6"/>
      </w:pPr>
      <w:r w:rsidRPr="00B34E17">
        <w:rPr>
          <w:b/>
          <w:sz w:val="20"/>
          <w:szCs w:val="20"/>
        </w:rPr>
        <w:t>DEPTO. PROCESOS Y NORMAS ADUANERAS</w:t>
      </w:r>
      <w:r w:rsidRPr="00B34E17">
        <w:rPr>
          <w:b/>
          <w:sz w:val="20"/>
          <w:szCs w:val="20"/>
        </w:rPr>
        <w:tab/>
      </w:r>
      <w:r w:rsidRPr="00B34E17">
        <w:rPr>
          <w:sz w:val="20"/>
          <w:szCs w:val="20"/>
        </w:rPr>
        <w:tab/>
      </w:r>
      <w:r w:rsidRPr="00B34E17">
        <w:rPr>
          <w:sz w:val="20"/>
          <w:szCs w:val="20"/>
        </w:rPr>
        <w:tab/>
      </w:r>
      <w:r>
        <w:tab/>
      </w:r>
      <w:r>
        <w:tab/>
      </w:r>
    </w:p>
    <w:p w:rsidR="00983808" w:rsidRDefault="00983808" w:rsidP="00992890">
      <w:pPr>
        <w:spacing w:after="0" w:line="240" w:lineRule="auto"/>
      </w:pPr>
    </w:p>
    <w:p w:rsidR="00983808" w:rsidRPr="00992890" w:rsidRDefault="00983808" w:rsidP="00B34E17">
      <w:pPr>
        <w:ind w:firstLine="3969"/>
        <w:jc w:val="both"/>
        <w:rPr>
          <w:rFonts w:ascii="Verdana" w:hAnsi="Verdana"/>
          <w:b/>
          <w:sz w:val="20"/>
          <w:szCs w:val="20"/>
        </w:rPr>
      </w:pPr>
      <w:r w:rsidRPr="00992890">
        <w:rPr>
          <w:rFonts w:ascii="Verdana" w:hAnsi="Verdana"/>
          <w:b/>
          <w:sz w:val="20"/>
          <w:szCs w:val="20"/>
        </w:rPr>
        <w:t xml:space="preserve">RESOLUCIÓN EXENTA N° </w:t>
      </w:r>
    </w:p>
    <w:p w:rsidR="00983808" w:rsidRPr="00992890" w:rsidRDefault="00983808" w:rsidP="00B34E17">
      <w:pPr>
        <w:ind w:firstLine="3969"/>
        <w:jc w:val="both"/>
        <w:rPr>
          <w:rFonts w:ascii="Verdana" w:hAnsi="Verdana"/>
          <w:b/>
          <w:sz w:val="20"/>
          <w:szCs w:val="20"/>
        </w:rPr>
      </w:pPr>
      <w:r w:rsidRPr="00992890">
        <w:rPr>
          <w:rFonts w:ascii="Verdana" w:hAnsi="Verdana"/>
          <w:b/>
          <w:sz w:val="20"/>
          <w:szCs w:val="20"/>
        </w:rPr>
        <w:t>VALPARAÍSO,</w:t>
      </w:r>
    </w:p>
    <w:p w:rsidR="00FF6852" w:rsidRDefault="00FF6852" w:rsidP="00992890">
      <w:pPr>
        <w:spacing w:after="0" w:line="240" w:lineRule="auto"/>
        <w:ind w:firstLine="3969"/>
        <w:jc w:val="both"/>
        <w:rPr>
          <w:rFonts w:ascii="Verdana" w:hAnsi="Verdana"/>
          <w:b/>
          <w:sz w:val="20"/>
          <w:szCs w:val="20"/>
        </w:rPr>
      </w:pPr>
    </w:p>
    <w:p w:rsidR="00983808" w:rsidRDefault="00983808" w:rsidP="00992890">
      <w:pPr>
        <w:spacing w:after="0" w:line="240" w:lineRule="auto"/>
        <w:ind w:firstLine="3969"/>
        <w:jc w:val="both"/>
        <w:rPr>
          <w:rFonts w:ascii="Verdana" w:hAnsi="Verdana"/>
          <w:sz w:val="20"/>
          <w:szCs w:val="20"/>
        </w:rPr>
      </w:pPr>
      <w:r w:rsidRPr="00992890">
        <w:rPr>
          <w:rFonts w:ascii="Verdana" w:hAnsi="Verdana"/>
          <w:b/>
          <w:sz w:val="20"/>
          <w:szCs w:val="20"/>
        </w:rPr>
        <w:t>VISTOS Y CONSIDERANDO:</w:t>
      </w:r>
      <w:r w:rsidRPr="00992890">
        <w:rPr>
          <w:rFonts w:ascii="Verdana" w:hAnsi="Verdana"/>
          <w:sz w:val="20"/>
          <w:szCs w:val="20"/>
        </w:rPr>
        <w:t xml:space="preserve"> Lo dispuesto en la Resolución N°5234 de 24.05.2013, que actualizó el procedimiento de control de destinaciones aduaneras que amparen </w:t>
      </w:r>
      <w:proofErr w:type="spellStart"/>
      <w:r w:rsidRPr="00992890">
        <w:rPr>
          <w:rFonts w:ascii="Verdana" w:hAnsi="Verdana"/>
          <w:sz w:val="20"/>
          <w:szCs w:val="20"/>
        </w:rPr>
        <w:t>gr</w:t>
      </w:r>
      <w:r w:rsidR="008F7AAC" w:rsidRPr="00992890">
        <w:rPr>
          <w:rFonts w:ascii="Verdana" w:hAnsi="Verdana"/>
          <w:sz w:val="20"/>
          <w:szCs w:val="20"/>
        </w:rPr>
        <w:t>a</w:t>
      </w:r>
      <w:r w:rsidRPr="00992890">
        <w:rPr>
          <w:rFonts w:ascii="Verdana" w:hAnsi="Verdana"/>
          <w:sz w:val="20"/>
          <w:szCs w:val="20"/>
        </w:rPr>
        <w:t>neles</w:t>
      </w:r>
      <w:proofErr w:type="spellEnd"/>
      <w:r w:rsidRPr="00992890">
        <w:rPr>
          <w:rFonts w:ascii="Verdana" w:hAnsi="Verdana"/>
          <w:sz w:val="20"/>
          <w:szCs w:val="20"/>
        </w:rPr>
        <w:t xml:space="preserve"> líquidos, mediciones, almacenamientos y medición de estanques y medición de otros </w:t>
      </w:r>
      <w:proofErr w:type="spellStart"/>
      <w:r w:rsidRPr="00992890">
        <w:rPr>
          <w:rFonts w:ascii="Verdana" w:hAnsi="Verdana"/>
          <w:sz w:val="20"/>
          <w:szCs w:val="20"/>
        </w:rPr>
        <w:t>gr</w:t>
      </w:r>
      <w:r w:rsidR="008F7AAC" w:rsidRPr="00992890">
        <w:rPr>
          <w:rFonts w:ascii="Verdana" w:hAnsi="Verdana"/>
          <w:sz w:val="20"/>
          <w:szCs w:val="20"/>
        </w:rPr>
        <w:t>a</w:t>
      </w:r>
      <w:r w:rsidRPr="00992890">
        <w:rPr>
          <w:rFonts w:ascii="Verdana" w:hAnsi="Verdana"/>
          <w:sz w:val="20"/>
          <w:szCs w:val="20"/>
        </w:rPr>
        <w:t>neles</w:t>
      </w:r>
      <w:proofErr w:type="spellEnd"/>
      <w:r w:rsidRPr="00992890">
        <w:rPr>
          <w:rFonts w:ascii="Verdana" w:hAnsi="Verdana"/>
          <w:sz w:val="20"/>
          <w:szCs w:val="20"/>
        </w:rPr>
        <w:t xml:space="preserve"> líquidos.</w:t>
      </w:r>
    </w:p>
    <w:p w:rsidR="00992890" w:rsidRPr="00992890" w:rsidRDefault="00992890" w:rsidP="00992890">
      <w:pPr>
        <w:spacing w:after="0" w:line="240" w:lineRule="auto"/>
        <w:ind w:firstLine="3969"/>
        <w:jc w:val="both"/>
        <w:rPr>
          <w:rFonts w:ascii="Verdana" w:hAnsi="Verdana"/>
          <w:sz w:val="20"/>
          <w:szCs w:val="20"/>
        </w:rPr>
      </w:pPr>
    </w:p>
    <w:p w:rsidR="00983808" w:rsidRDefault="00983808" w:rsidP="00992890">
      <w:pPr>
        <w:spacing w:after="0" w:line="240" w:lineRule="auto"/>
        <w:ind w:firstLine="3969"/>
        <w:jc w:val="both"/>
        <w:rPr>
          <w:rFonts w:ascii="Verdana" w:hAnsi="Verdana"/>
          <w:sz w:val="20"/>
          <w:szCs w:val="20"/>
        </w:rPr>
      </w:pPr>
      <w:r w:rsidRPr="00992890">
        <w:rPr>
          <w:rFonts w:ascii="Verdana" w:hAnsi="Verdana"/>
          <w:sz w:val="20"/>
          <w:szCs w:val="20"/>
        </w:rPr>
        <w:t xml:space="preserve">Que, mediante Oficio N°64 de 07.08.2017 de la </w:t>
      </w:r>
      <w:r w:rsidR="00A76571" w:rsidRPr="00992890">
        <w:rPr>
          <w:rFonts w:ascii="Verdana" w:hAnsi="Verdana"/>
          <w:sz w:val="20"/>
          <w:szCs w:val="20"/>
        </w:rPr>
        <w:t>Sra.</w:t>
      </w:r>
      <w:r w:rsidRPr="00992890">
        <w:rPr>
          <w:rFonts w:ascii="Verdana" w:hAnsi="Verdana"/>
          <w:sz w:val="20"/>
          <w:szCs w:val="20"/>
        </w:rPr>
        <w:t xml:space="preserve"> Jefa del </w:t>
      </w:r>
      <w:r w:rsidR="00A76571" w:rsidRPr="00992890">
        <w:rPr>
          <w:rFonts w:ascii="Verdana" w:hAnsi="Verdana"/>
          <w:sz w:val="20"/>
          <w:szCs w:val="20"/>
        </w:rPr>
        <w:t>Depto.</w:t>
      </w:r>
      <w:r w:rsidRPr="00992890">
        <w:rPr>
          <w:rFonts w:ascii="Verdana" w:hAnsi="Verdana"/>
          <w:sz w:val="20"/>
          <w:szCs w:val="20"/>
        </w:rPr>
        <w:t xml:space="preserve"> Laboratorio Químico se ha elevado ante esta Dirección Nacional una solicitud de la empresa </w:t>
      </w:r>
      <w:proofErr w:type="spellStart"/>
      <w:r w:rsidRPr="00992890">
        <w:rPr>
          <w:rFonts w:ascii="Verdana" w:hAnsi="Verdana"/>
          <w:sz w:val="20"/>
          <w:szCs w:val="20"/>
        </w:rPr>
        <w:t>Intertek</w:t>
      </w:r>
      <w:proofErr w:type="spellEnd"/>
      <w:r w:rsidRPr="00992890">
        <w:rPr>
          <w:rFonts w:ascii="Verdana" w:hAnsi="Verdana"/>
          <w:sz w:val="20"/>
          <w:szCs w:val="20"/>
        </w:rPr>
        <w:t xml:space="preserve"> Caleb </w:t>
      </w:r>
      <w:proofErr w:type="spellStart"/>
      <w:r w:rsidRPr="00992890">
        <w:rPr>
          <w:rFonts w:ascii="Verdana" w:hAnsi="Verdana"/>
          <w:sz w:val="20"/>
          <w:szCs w:val="20"/>
        </w:rPr>
        <w:t>Brett</w:t>
      </w:r>
      <w:proofErr w:type="spellEnd"/>
      <w:r w:rsidRPr="00992890">
        <w:rPr>
          <w:rFonts w:ascii="Verdana" w:hAnsi="Verdana"/>
          <w:sz w:val="20"/>
          <w:szCs w:val="20"/>
        </w:rPr>
        <w:t xml:space="preserve"> Chile S.A.</w:t>
      </w:r>
    </w:p>
    <w:p w:rsidR="00992890" w:rsidRPr="00992890" w:rsidRDefault="00992890" w:rsidP="00992890">
      <w:pPr>
        <w:spacing w:after="0" w:line="240" w:lineRule="auto"/>
        <w:ind w:firstLine="3969"/>
        <w:jc w:val="both"/>
        <w:rPr>
          <w:rFonts w:ascii="Verdana" w:hAnsi="Verdana"/>
          <w:sz w:val="20"/>
          <w:szCs w:val="20"/>
        </w:rPr>
      </w:pPr>
    </w:p>
    <w:p w:rsidR="00983808" w:rsidRPr="00992890" w:rsidRDefault="00983808" w:rsidP="00992890">
      <w:pPr>
        <w:spacing w:after="0" w:line="240" w:lineRule="auto"/>
        <w:ind w:firstLine="3969"/>
        <w:jc w:val="both"/>
        <w:rPr>
          <w:rFonts w:ascii="Verdana" w:hAnsi="Verdana"/>
          <w:sz w:val="20"/>
          <w:szCs w:val="20"/>
        </w:rPr>
      </w:pPr>
      <w:r w:rsidRPr="00992890">
        <w:rPr>
          <w:rFonts w:ascii="Verdana" w:hAnsi="Verdana"/>
          <w:sz w:val="20"/>
          <w:szCs w:val="20"/>
        </w:rPr>
        <w:t xml:space="preserve">Que, la referida </w:t>
      </w:r>
      <w:r w:rsidR="008F7AAC" w:rsidRPr="00992890">
        <w:rPr>
          <w:rFonts w:ascii="Verdana" w:hAnsi="Verdana"/>
          <w:sz w:val="20"/>
          <w:szCs w:val="20"/>
        </w:rPr>
        <w:t>R</w:t>
      </w:r>
      <w:r w:rsidRPr="00992890">
        <w:rPr>
          <w:rFonts w:ascii="Verdana" w:hAnsi="Verdana"/>
          <w:sz w:val="20"/>
          <w:szCs w:val="20"/>
        </w:rPr>
        <w:t>esolución N°5234/2013, hace referencia a las exigencias que deben cumplir los Almacenistas de este tipo de producto</w:t>
      </w:r>
      <w:r w:rsidR="00A869B7">
        <w:rPr>
          <w:rFonts w:ascii="Verdana" w:hAnsi="Verdana"/>
          <w:sz w:val="20"/>
          <w:szCs w:val="20"/>
        </w:rPr>
        <w:t>s</w:t>
      </w:r>
      <w:r w:rsidRPr="00992890">
        <w:rPr>
          <w:rFonts w:ascii="Verdana" w:hAnsi="Verdana"/>
          <w:sz w:val="20"/>
          <w:szCs w:val="20"/>
        </w:rPr>
        <w:t xml:space="preserve">, especialmente con la habilitación previa de los estanques de almacenamiento, por parte de la Aduana, como asimismo, la autorización de las respectivas </w:t>
      </w:r>
      <w:r w:rsidR="009B3474">
        <w:rPr>
          <w:rFonts w:ascii="Verdana" w:hAnsi="Verdana"/>
          <w:sz w:val="20"/>
          <w:szCs w:val="20"/>
        </w:rPr>
        <w:t>T</w:t>
      </w:r>
      <w:r w:rsidRPr="00992890">
        <w:rPr>
          <w:rFonts w:ascii="Verdana" w:hAnsi="Verdana"/>
          <w:sz w:val="20"/>
          <w:szCs w:val="20"/>
        </w:rPr>
        <w:t xml:space="preserve">ablas de </w:t>
      </w:r>
      <w:r w:rsidR="009B3474">
        <w:rPr>
          <w:rFonts w:ascii="Verdana" w:hAnsi="Verdana"/>
          <w:sz w:val="20"/>
          <w:szCs w:val="20"/>
        </w:rPr>
        <w:t>C</w:t>
      </w:r>
      <w:r w:rsidRPr="00992890">
        <w:rPr>
          <w:rFonts w:ascii="Verdana" w:hAnsi="Verdana"/>
          <w:sz w:val="20"/>
          <w:szCs w:val="20"/>
        </w:rPr>
        <w:t>alibración de cada uno de los estanques.</w:t>
      </w:r>
    </w:p>
    <w:p w:rsidR="00983808" w:rsidRPr="00992890" w:rsidRDefault="00983808" w:rsidP="00992890">
      <w:pPr>
        <w:spacing w:after="0" w:line="240" w:lineRule="auto"/>
        <w:ind w:firstLine="3969"/>
        <w:jc w:val="both"/>
        <w:rPr>
          <w:rFonts w:ascii="Verdana" w:hAnsi="Verdana"/>
          <w:sz w:val="20"/>
          <w:szCs w:val="20"/>
        </w:rPr>
      </w:pPr>
    </w:p>
    <w:p w:rsidR="00983808" w:rsidRPr="00992890" w:rsidRDefault="00983808" w:rsidP="00992890">
      <w:pPr>
        <w:spacing w:after="0" w:line="240" w:lineRule="auto"/>
        <w:ind w:firstLine="3969"/>
        <w:jc w:val="both"/>
        <w:rPr>
          <w:rFonts w:ascii="Verdana" w:hAnsi="Verdana"/>
          <w:sz w:val="20"/>
          <w:szCs w:val="20"/>
        </w:rPr>
      </w:pPr>
      <w:r w:rsidRPr="00992890">
        <w:rPr>
          <w:rFonts w:ascii="Verdana" w:hAnsi="Verdana"/>
          <w:sz w:val="20"/>
          <w:szCs w:val="20"/>
        </w:rPr>
        <w:t xml:space="preserve">Que, uno de los aspectos fundamentales de los procedimientos de control, se basa en la calibración de los estanques por organismos competentes y aceptados por la Aduana, como son los </w:t>
      </w:r>
      <w:proofErr w:type="spellStart"/>
      <w:r w:rsidR="009B3474">
        <w:rPr>
          <w:rFonts w:ascii="Verdana" w:hAnsi="Verdana"/>
          <w:sz w:val="20"/>
          <w:szCs w:val="20"/>
        </w:rPr>
        <w:t>s</w:t>
      </w:r>
      <w:r w:rsidRPr="00992890">
        <w:rPr>
          <w:rFonts w:ascii="Verdana" w:hAnsi="Verdana"/>
          <w:sz w:val="20"/>
          <w:szCs w:val="20"/>
        </w:rPr>
        <w:t>urveyor</w:t>
      </w:r>
      <w:proofErr w:type="spellEnd"/>
      <w:r w:rsidRPr="00992890">
        <w:rPr>
          <w:rFonts w:ascii="Verdana" w:hAnsi="Verdana"/>
          <w:sz w:val="20"/>
          <w:szCs w:val="20"/>
        </w:rPr>
        <w:t>.</w:t>
      </w:r>
    </w:p>
    <w:p w:rsidR="00983808" w:rsidRPr="00992890" w:rsidRDefault="00983808"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sz w:val="20"/>
          <w:szCs w:val="20"/>
        </w:rPr>
      </w:pPr>
      <w:r w:rsidRPr="005A3DF6">
        <w:rPr>
          <w:rFonts w:ascii="Verdana" w:hAnsi="Verdana"/>
          <w:sz w:val="20"/>
          <w:szCs w:val="20"/>
        </w:rPr>
        <w:t xml:space="preserve">Que, los métodos tradicionales de calibración están basados en las normas </w:t>
      </w:r>
      <w:r w:rsidR="00A869B7" w:rsidRPr="005A3DF6">
        <w:rPr>
          <w:rFonts w:ascii="Verdana" w:hAnsi="Verdana"/>
          <w:sz w:val="20"/>
          <w:szCs w:val="20"/>
        </w:rPr>
        <w:t xml:space="preserve">internacionales </w:t>
      </w:r>
      <w:r w:rsidRPr="005A3DF6">
        <w:rPr>
          <w:rFonts w:ascii="Verdana" w:hAnsi="Verdana"/>
          <w:sz w:val="20"/>
          <w:szCs w:val="20"/>
        </w:rPr>
        <w:t>(</w:t>
      </w:r>
      <w:r w:rsidR="005F474D" w:rsidRPr="005A3DF6">
        <w:rPr>
          <w:rStyle w:val="nfasissutil"/>
          <w:rFonts w:ascii="Verdana" w:hAnsi="Verdana"/>
          <w:i w:val="0"/>
          <w:color w:val="auto"/>
          <w:sz w:val="20"/>
          <w:szCs w:val="20"/>
        </w:rPr>
        <w:t xml:space="preserve">API MPMS </w:t>
      </w:r>
      <w:proofErr w:type="spellStart"/>
      <w:r w:rsidR="005F474D" w:rsidRPr="005A3DF6">
        <w:rPr>
          <w:rStyle w:val="nfasissutil"/>
          <w:rFonts w:ascii="Verdana" w:hAnsi="Verdana"/>
          <w:i w:val="0"/>
          <w:color w:val="auto"/>
          <w:sz w:val="20"/>
          <w:szCs w:val="20"/>
        </w:rPr>
        <w:t>C</w:t>
      </w:r>
      <w:r w:rsidR="009B3474">
        <w:rPr>
          <w:rStyle w:val="nfasissutil"/>
          <w:rFonts w:ascii="Verdana" w:hAnsi="Verdana"/>
          <w:i w:val="0"/>
          <w:color w:val="auto"/>
          <w:sz w:val="20"/>
          <w:szCs w:val="20"/>
        </w:rPr>
        <w:t>hapter</w:t>
      </w:r>
      <w:proofErr w:type="spellEnd"/>
      <w:r w:rsidR="005F474D" w:rsidRPr="005A3DF6">
        <w:rPr>
          <w:rStyle w:val="nfasissutil"/>
          <w:rFonts w:ascii="Verdana" w:hAnsi="Verdana"/>
          <w:i w:val="0"/>
          <w:color w:val="auto"/>
          <w:sz w:val="20"/>
          <w:szCs w:val="20"/>
        </w:rPr>
        <w:t xml:space="preserve"> 2.2A and </w:t>
      </w:r>
      <w:proofErr w:type="spellStart"/>
      <w:r w:rsidR="005F474D" w:rsidRPr="005A3DF6">
        <w:rPr>
          <w:rStyle w:val="nfasissutil"/>
          <w:rFonts w:ascii="Verdana" w:hAnsi="Verdana"/>
          <w:i w:val="0"/>
          <w:color w:val="auto"/>
          <w:sz w:val="20"/>
          <w:szCs w:val="20"/>
        </w:rPr>
        <w:t>C</w:t>
      </w:r>
      <w:r w:rsidR="009B3474">
        <w:rPr>
          <w:rStyle w:val="nfasissutil"/>
          <w:rFonts w:ascii="Verdana" w:hAnsi="Verdana"/>
          <w:i w:val="0"/>
          <w:color w:val="auto"/>
          <w:sz w:val="20"/>
          <w:szCs w:val="20"/>
        </w:rPr>
        <w:t>hapter</w:t>
      </w:r>
      <w:proofErr w:type="spellEnd"/>
      <w:r w:rsidR="009B3474">
        <w:rPr>
          <w:rStyle w:val="nfasissutil"/>
          <w:rFonts w:ascii="Verdana" w:hAnsi="Verdana"/>
          <w:i w:val="0"/>
          <w:color w:val="auto"/>
          <w:sz w:val="20"/>
          <w:szCs w:val="20"/>
        </w:rPr>
        <w:t xml:space="preserve"> N° </w:t>
      </w:r>
      <w:r w:rsidR="005F474D" w:rsidRPr="005A3DF6">
        <w:rPr>
          <w:rStyle w:val="nfasissutil"/>
          <w:rFonts w:ascii="Verdana" w:hAnsi="Verdana"/>
          <w:i w:val="0"/>
          <w:color w:val="auto"/>
          <w:sz w:val="20"/>
          <w:szCs w:val="20"/>
        </w:rPr>
        <w:t>2.2B o ASTM (D1220/D4738)</w:t>
      </w:r>
      <w:r w:rsidRPr="005A3DF6">
        <w:rPr>
          <w:rFonts w:ascii="Verdana" w:hAnsi="Verdana"/>
          <w:sz w:val="20"/>
          <w:szCs w:val="20"/>
        </w:rPr>
        <w:t xml:space="preserve">, los </w:t>
      </w:r>
      <w:r w:rsidR="009B3474">
        <w:rPr>
          <w:rFonts w:ascii="Verdana" w:hAnsi="Verdana"/>
          <w:sz w:val="20"/>
          <w:szCs w:val="20"/>
        </w:rPr>
        <w:t xml:space="preserve">que contemplan actividades manuales, </w:t>
      </w:r>
      <w:r w:rsidRPr="005A3DF6">
        <w:rPr>
          <w:rFonts w:ascii="Verdana" w:hAnsi="Verdana"/>
          <w:sz w:val="20"/>
          <w:szCs w:val="20"/>
        </w:rPr>
        <w:t>con mediciones físicas, utilizando instrumentos</w:t>
      </w:r>
      <w:r w:rsidR="00B34E17" w:rsidRPr="005A3DF6">
        <w:rPr>
          <w:rFonts w:ascii="Verdana" w:hAnsi="Verdana"/>
          <w:sz w:val="20"/>
          <w:szCs w:val="20"/>
        </w:rPr>
        <w:t xml:space="preserve"> </w:t>
      </w:r>
      <w:r w:rsidRPr="005A3DF6">
        <w:rPr>
          <w:rFonts w:ascii="Verdana" w:hAnsi="Verdana"/>
          <w:sz w:val="20"/>
          <w:szCs w:val="20"/>
        </w:rPr>
        <w:t>tales como</w:t>
      </w:r>
      <w:r w:rsidR="009B3474">
        <w:rPr>
          <w:rFonts w:ascii="Verdana" w:hAnsi="Verdana"/>
          <w:sz w:val="20"/>
          <w:szCs w:val="20"/>
        </w:rPr>
        <w:t>:</w:t>
      </w:r>
      <w:r w:rsidR="00B34E17" w:rsidRPr="005A3DF6">
        <w:rPr>
          <w:rFonts w:ascii="Verdana" w:hAnsi="Verdana"/>
          <w:sz w:val="20"/>
          <w:szCs w:val="20"/>
        </w:rPr>
        <w:t xml:space="preserve"> </w:t>
      </w:r>
      <w:r w:rsidRPr="005A3DF6">
        <w:rPr>
          <w:rFonts w:ascii="Verdana" w:hAnsi="Verdana"/>
          <w:sz w:val="20"/>
          <w:szCs w:val="20"/>
        </w:rPr>
        <w:t>cintas de medición, carros magnéticos, medidores ópticos</w:t>
      </w:r>
      <w:r w:rsidR="009B3474">
        <w:rPr>
          <w:rFonts w:ascii="Verdana" w:hAnsi="Verdana"/>
          <w:sz w:val="20"/>
          <w:szCs w:val="20"/>
        </w:rPr>
        <w:t xml:space="preserve">. Además, es necesario contar con una cantidad importante de </w:t>
      </w:r>
      <w:r w:rsidRPr="005A3DF6">
        <w:rPr>
          <w:rFonts w:ascii="Verdana" w:hAnsi="Verdana"/>
          <w:sz w:val="20"/>
          <w:szCs w:val="20"/>
        </w:rPr>
        <w:t>personal</w:t>
      </w:r>
      <w:r w:rsidR="009B3474">
        <w:rPr>
          <w:rFonts w:ascii="Verdana" w:hAnsi="Verdana"/>
          <w:sz w:val="20"/>
          <w:szCs w:val="20"/>
        </w:rPr>
        <w:t xml:space="preserve"> calificado</w:t>
      </w:r>
      <w:r w:rsidRPr="005A3DF6">
        <w:rPr>
          <w:rFonts w:ascii="Verdana" w:hAnsi="Verdana"/>
          <w:sz w:val="20"/>
          <w:szCs w:val="20"/>
        </w:rPr>
        <w:t xml:space="preserve">, </w:t>
      </w:r>
      <w:r w:rsidR="009B3474">
        <w:rPr>
          <w:rFonts w:ascii="Verdana" w:hAnsi="Verdana"/>
          <w:sz w:val="20"/>
          <w:szCs w:val="20"/>
        </w:rPr>
        <w:t>por tratarse de una actividad de alto riesgo al contemplar trabajos en altura.</w:t>
      </w:r>
    </w:p>
    <w:p w:rsidR="00983808" w:rsidRPr="005A3DF6" w:rsidRDefault="00983808"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sz w:val="20"/>
          <w:szCs w:val="20"/>
        </w:rPr>
      </w:pPr>
      <w:r w:rsidRPr="005A3DF6">
        <w:rPr>
          <w:rFonts w:ascii="Verdana" w:hAnsi="Verdana"/>
          <w:sz w:val="20"/>
          <w:szCs w:val="20"/>
        </w:rPr>
        <w:t>Que, mediante Oficio N°19</w:t>
      </w:r>
      <w:r w:rsidR="009B3474">
        <w:rPr>
          <w:rFonts w:ascii="Verdana" w:hAnsi="Verdana"/>
          <w:sz w:val="20"/>
          <w:szCs w:val="20"/>
        </w:rPr>
        <w:t>.</w:t>
      </w:r>
      <w:r w:rsidRPr="005A3DF6">
        <w:rPr>
          <w:rFonts w:ascii="Verdana" w:hAnsi="Verdana"/>
          <w:sz w:val="20"/>
          <w:szCs w:val="20"/>
        </w:rPr>
        <w:t xml:space="preserve">396 de 16.12.2010 de la Dirección Nacional de Aduanas, se autorizó a la empresa </w:t>
      </w:r>
      <w:proofErr w:type="spellStart"/>
      <w:r w:rsidRPr="005A3DF6">
        <w:rPr>
          <w:rFonts w:ascii="Verdana" w:hAnsi="Verdana"/>
          <w:sz w:val="20"/>
          <w:szCs w:val="20"/>
        </w:rPr>
        <w:t>Intertek</w:t>
      </w:r>
      <w:proofErr w:type="spellEnd"/>
      <w:r w:rsidRPr="005A3DF6">
        <w:rPr>
          <w:rFonts w:ascii="Verdana" w:hAnsi="Verdana"/>
          <w:sz w:val="20"/>
          <w:szCs w:val="20"/>
        </w:rPr>
        <w:t xml:space="preserve"> Caleb </w:t>
      </w:r>
      <w:proofErr w:type="spellStart"/>
      <w:r w:rsidRPr="005A3DF6">
        <w:rPr>
          <w:rFonts w:ascii="Verdana" w:hAnsi="Verdana"/>
          <w:sz w:val="20"/>
          <w:szCs w:val="20"/>
        </w:rPr>
        <w:t>Brett</w:t>
      </w:r>
      <w:proofErr w:type="spellEnd"/>
      <w:r w:rsidRPr="005A3DF6">
        <w:rPr>
          <w:rFonts w:ascii="Verdana" w:hAnsi="Verdana"/>
          <w:sz w:val="20"/>
          <w:szCs w:val="20"/>
        </w:rPr>
        <w:t xml:space="preserve"> Chile S.A., para realizar trabajos técnicos respecto a calibraciones de estanques, certificaciones de análisis y supervisión de estanques.</w:t>
      </w:r>
    </w:p>
    <w:p w:rsidR="00983808" w:rsidRPr="005A3DF6" w:rsidRDefault="00983808" w:rsidP="00992890">
      <w:pPr>
        <w:spacing w:after="0" w:line="240" w:lineRule="auto"/>
        <w:ind w:firstLine="3969"/>
        <w:jc w:val="both"/>
        <w:rPr>
          <w:rFonts w:ascii="Verdana" w:hAnsi="Verdana"/>
          <w:sz w:val="20"/>
          <w:szCs w:val="20"/>
        </w:rPr>
      </w:pPr>
    </w:p>
    <w:p w:rsidR="00FE37E0" w:rsidRDefault="00983808" w:rsidP="005A3DF6">
      <w:pPr>
        <w:autoSpaceDE w:val="0"/>
        <w:autoSpaceDN w:val="0"/>
        <w:adjustRightInd w:val="0"/>
        <w:spacing w:after="0" w:line="240" w:lineRule="auto"/>
        <w:ind w:firstLine="3969"/>
        <w:jc w:val="both"/>
        <w:rPr>
          <w:rFonts w:ascii="Verdana" w:hAnsi="Verdana"/>
          <w:sz w:val="20"/>
          <w:szCs w:val="20"/>
        </w:rPr>
      </w:pPr>
      <w:r w:rsidRPr="005A3DF6">
        <w:rPr>
          <w:rFonts w:ascii="Verdana" w:hAnsi="Verdana"/>
          <w:sz w:val="20"/>
          <w:szCs w:val="20"/>
        </w:rPr>
        <w:t xml:space="preserve">Que, la referida empresa </w:t>
      </w:r>
      <w:proofErr w:type="spellStart"/>
      <w:r w:rsidRPr="005A3DF6">
        <w:rPr>
          <w:rFonts w:ascii="Verdana" w:hAnsi="Verdana"/>
          <w:sz w:val="20"/>
          <w:szCs w:val="20"/>
        </w:rPr>
        <w:t>Intertek</w:t>
      </w:r>
      <w:proofErr w:type="spellEnd"/>
      <w:r w:rsidRPr="005A3DF6">
        <w:rPr>
          <w:rFonts w:ascii="Verdana" w:hAnsi="Verdana"/>
          <w:sz w:val="20"/>
          <w:szCs w:val="20"/>
        </w:rPr>
        <w:t xml:space="preserve"> Caleb </w:t>
      </w:r>
      <w:proofErr w:type="spellStart"/>
      <w:r w:rsidRPr="005A3DF6">
        <w:rPr>
          <w:rFonts w:ascii="Verdana" w:hAnsi="Verdana"/>
          <w:sz w:val="20"/>
          <w:szCs w:val="20"/>
        </w:rPr>
        <w:t>Brett</w:t>
      </w:r>
      <w:proofErr w:type="spellEnd"/>
      <w:r w:rsidRPr="005A3DF6">
        <w:rPr>
          <w:rFonts w:ascii="Verdana" w:hAnsi="Verdana"/>
          <w:sz w:val="20"/>
          <w:szCs w:val="20"/>
        </w:rPr>
        <w:t xml:space="preserve"> Chile S.A., está ofreciendo </w:t>
      </w:r>
      <w:r w:rsidR="00A869B7" w:rsidRPr="005A3DF6">
        <w:rPr>
          <w:rFonts w:ascii="Verdana" w:hAnsi="Verdana"/>
          <w:sz w:val="20"/>
          <w:szCs w:val="20"/>
        </w:rPr>
        <w:t xml:space="preserve">un método </w:t>
      </w:r>
      <w:r w:rsidRPr="005A3DF6">
        <w:rPr>
          <w:rFonts w:ascii="Verdana" w:hAnsi="Verdana"/>
          <w:sz w:val="20"/>
          <w:szCs w:val="20"/>
        </w:rPr>
        <w:t xml:space="preserve">de mayor tecnología </w:t>
      </w:r>
      <w:r w:rsidR="00A869B7" w:rsidRPr="005A3DF6">
        <w:rPr>
          <w:rFonts w:ascii="Verdana" w:hAnsi="Verdana"/>
          <w:sz w:val="20"/>
          <w:szCs w:val="20"/>
        </w:rPr>
        <w:t xml:space="preserve">para calibrar estanques, </w:t>
      </w:r>
      <w:r w:rsidRPr="005A3DF6">
        <w:rPr>
          <w:rFonts w:ascii="Verdana" w:hAnsi="Verdana"/>
          <w:sz w:val="20"/>
          <w:szCs w:val="20"/>
        </w:rPr>
        <w:t xml:space="preserve">vigente en el mercado, </w:t>
      </w:r>
      <w:r w:rsidR="00A869B7" w:rsidRPr="005A3DF6">
        <w:rPr>
          <w:rFonts w:ascii="Verdana" w:hAnsi="Verdana"/>
          <w:sz w:val="20"/>
          <w:szCs w:val="20"/>
        </w:rPr>
        <w:t xml:space="preserve">el </w:t>
      </w:r>
      <w:r w:rsidRPr="005A3DF6">
        <w:rPr>
          <w:rFonts w:ascii="Verdana" w:hAnsi="Verdana"/>
          <w:sz w:val="20"/>
          <w:szCs w:val="20"/>
        </w:rPr>
        <w:t>que corresponde a</w:t>
      </w:r>
      <w:r w:rsidR="00A869B7" w:rsidRPr="005A3DF6">
        <w:rPr>
          <w:rFonts w:ascii="Verdana" w:hAnsi="Verdana"/>
          <w:sz w:val="20"/>
          <w:szCs w:val="20"/>
        </w:rPr>
        <w:t xml:space="preserve"> un </w:t>
      </w:r>
      <w:r w:rsidRPr="005A3DF6">
        <w:rPr>
          <w:rFonts w:ascii="Verdana" w:hAnsi="Verdana"/>
          <w:sz w:val="20"/>
          <w:szCs w:val="20"/>
        </w:rPr>
        <w:t xml:space="preserve">método </w:t>
      </w:r>
      <w:r w:rsidR="00A869B7" w:rsidRPr="005A3DF6">
        <w:rPr>
          <w:rFonts w:ascii="Verdana" w:hAnsi="Verdana"/>
          <w:sz w:val="20"/>
          <w:szCs w:val="20"/>
        </w:rPr>
        <w:t>electro-</w:t>
      </w:r>
      <w:r w:rsidRPr="005A3DF6">
        <w:rPr>
          <w:rFonts w:ascii="Verdana" w:hAnsi="Verdana"/>
          <w:sz w:val="20"/>
          <w:szCs w:val="20"/>
        </w:rPr>
        <w:t xml:space="preserve">óptico </w:t>
      </w:r>
      <w:r w:rsidR="00A869B7" w:rsidRPr="005A3DF6">
        <w:rPr>
          <w:rFonts w:ascii="Verdana" w:hAnsi="Verdana"/>
          <w:sz w:val="20"/>
          <w:szCs w:val="20"/>
        </w:rPr>
        <w:t>interno/externo para la determinación de distancia</w:t>
      </w:r>
      <w:r w:rsidR="009B3474">
        <w:rPr>
          <w:rFonts w:ascii="Verdana" w:hAnsi="Verdana"/>
          <w:sz w:val="20"/>
          <w:szCs w:val="20"/>
        </w:rPr>
        <w:t xml:space="preserve">, el que utiliza para la medición un escáner láser 3D, y que hace referencia a la norma ISO </w:t>
      </w:r>
      <w:r w:rsidR="00FE37E0">
        <w:rPr>
          <w:rFonts w:ascii="Verdana" w:hAnsi="Verdana"/>
          <w:sz w:val="20"/>
          <w:szCs w:val="20"/>
        </w:rPr>
        <w:t>7507, Parte 4 y 5 (E</w:t>
      </w:r>
      <w:r w:rsidR="00FE37E0" w:rsidRPr="005A3DF6">
        <w:rPr>
          <w:rFonts w:ascii="Verdana" w:hAnsi="Verdana"/>
          <w:sz w:val="20"/>
          <w:szCs w:val="20"/>
        </w:rPr>
        <w:t>lectro-</w:t>
      </w:r>
      <w:proofErr w:type="spellStart"/>
      <w:r w:rsidR="00FE37E0">
        <w:rPr>
          <w:rFonts w:ascii="Verdana" w:hAnsi="Verdana"/>
          <w:sz w:val="20"/>
          <w:szCs w:val="20"/>
        </w:rPr>
        <w:t>O</w:t>
      </w:r>
      <w:r w:rsidR="00FE37E0" w:rsidRPr="005A3DF6">
        <w:rPr>
          <w:rFonts w:ascii="Verdana" w:hAnsi="Verdana"/>
          <w:sz w:val="20"/>
          <w:szCs w:val="20"/>
        </w:rPr>
        <w:t>ptical</w:t>
      </w:r>
      <w:proofErr w:type="spellEnd"/>
      <w:r w:rsidR="00FE37E0" w:rsidRPr="005A3DF6">
        <w:rPr>
          <w:rFonts w:ascii="Verdana" w:hAnsi="Verdana"/>
          <w:sz w:val="20"/>
          <w:szCs w:val="20"/>
        </w:rPr>
        <w:t xml:space="preserve"> </w:t>
      </w:r>
      <w:proofErr w:type="spellStart"/>
      <w:r w:rsidR="00FE37E0">
        <w:rPr>
          <w:rFonts w:ascii="Verdana" w:hAnsi="Verdana"/>
          <w:sz w:val="20"/>
          <w:szCs w:val="20"/>
        </w:rPr>
        <w:t>D</w:t>
      </w:r>
      <w:r w:rsidR="00FE37E0" w:rsidRPr="005A3DF6">
        <w:rPr>
          <w:rFonts w:ascii="Verdana" w:hAnsi="Verdana"/>
          <w:sz w:val="20"/>
          <w:szCs w:val="20"/>
        </w:rPr>
        <w:t>istance</w:t>
      </w:r>
      <w:proofErr w:type="spellEnd"/>
      <w:r w:rsidR="00FE37E0" w:rsidRPr="005A3DF6">
        <w:rPr>
          <w:rFonts w:ascii="Verdana" w:hAnsi="Verdana"/>
          <w:sz w:val="20"/>
          <w:szCs w:val="20"/>
        </w:rPr>
        <w:t xml:space="preserve"> </w:t>
      </w:r>
      <w:proofErr w:type="spellStart"/>
      <w:r w:rsidR="00FE37E0">
        <w:rPr>
          <w:rFonts w:ascii="Verdana" w:hAnsi="Verdana"/>
          <w:sz w:val="20"/>
          <w:szCs w:val="20"/>
        </w:rPr>
        <w:t>R</w:t>
      </w:r>
      <w:r w:rsidR="00FE37E0" w:rsidRPr="005A3DF6">
        <w:rPr>
          <w:rFonts w:ascii="Verdana" w:hAnsi="Verdana"/>
          <w:sz w:val="20"/>
          <w:szCs w:val="20"/>
        </w:rPr>
        <w:t>anging</w:t>
      </w:r>
      <w:proofErr w:type="spellEnd"/>
      <w:r w:rsidR="00FE37E0" w:rsidRPr="005A3DF6">
        <w:rPr>
          <w:rFonts w:ascii="Verdana" w:hAnsi="Verdana"/>
          <w:sz w:val="20"/>
          <w:szCs w:val="20"/>
        </w:rPr>
        <w:t xml:space="preserve"> </w:t>
      </w:r>
      <w:r w:rsidR="00FE37E0">
        <w:rPr>
          <w:rFonts w:ascii="Verdana" w:hAnsi="Verdana"/>
          <w:sz w:val="20"/>
          <w:szCs w:val="20"/>
        </w:rPr>
        <w:t xml:space="preserve">– EODR) o al manual API </w:t>
      </w:r>
      <w:r w:rsidR="005F474D" w:rsidRPr="005A3DF6">
        <w:rPr>
          <w:rFonts w:ascii="Verdana" w:hAnsi="Verdana"/>
          <w:sz w:val="20"/>
          <w:szCs w:val="20"/>
        </w:rPr>
        <w:t xml:space="preserve">MPMS </w:t>
      </w:r>
      <w:proofErr w:type="spellStart"/>
      <w:r w:rsidR="00F81036">
        <w:rPr>
          <w:rFonts w:ascii="Verdana" w:hAnsi="Verdana"/>
          <w:sz w:val="20"/>
          <w:szCs w:val="20"/>
        </w:rPr>
        <w:t>C</w:t>
      </w:r>
      <w:r w:rsidR="005F474D" w:rsidRPr="005A3DF6">
        <w:rPr>
          <w:rFonts w:ascii="Verdana" w:hAnsi="Verdana"/>
          <w:sz w:val="20"/>
          <w:szCs w:val="20"/>
        </w:rPr>
        <w:t>hapter</w:t>
      </w:r>
      <w:proofErr w:type="spellEnd"/>
      <w:r w:rsidR="005F474D" w:rsidRPr="005A3DF6">
        <w:rPr>
          <w:rFonts w:ascii="Verdana" w:hAnsi="Verdana"/>
          <w:sz w:val="20"/>
          <w:szCs w:val="20"/>
        </w:rPr>
        <w:t xml:space="preserve"> 2.2D (</w:t>
      </w:r>
      <w:proofErr w:type="spellStart"/>
      <w:r w:rsidR="00FE37E0">
        <w:rPr>
          <w:rFonts w:ascii="Verdana" w:hAnsi="Verdana"/>
          <w:sz w:val="20"/>
          <w:szCs w:val="20"/>
        </w:rPr>
        <w:t>c</w:t>
      </w:r>
      <w:r w:rsidR="005F474D" w:rsidRPr="005A3DF6">
        <w:rPr>
          <w:rFonts w:ascii="Verdana" w:hAnsi="Verdana"/>
          <w:sz w:val="20"/>
          <w:szCs w:val="20"/>
        </w:rPr>
        <w:t>alibration</w:t>
      </w:r>
      <w:proofErr w:type="spellEnd"/>
      <w:r w:rsidR="005F474D" w:rsidRPr="005A3DF6">
        <w:rPr>
          <w:rFonts w:ascii="Verdana" w:hAnsi="Verdana"/>
          <w:sz w:val="20"/>
          <w:szCs w:val="20"/>
        </w:rPr>
        <w:t xml:space="preserve"> of </w:t>
      </w:r>
      <w:proofErr w:type="spellStart"/>
      <w:r w:rsidR="00FE37E0">
        <w:rPr>
          <w:rFonts w:ascii="Verdana" w:hAnsi="Verdana"/>
          <w:sz w:val="20"/>
          <w:szCs w:val="20"/>
        </w:rPr>
        <w:t>u</w:t>
      </w:r>
      <w:r w:rsidR="005A3DF6">
        <w:rPr>
          <w:rFonts w:ascii="Verdana" w:hAnsi="Verdana"/>
          <w:sz w:val="20"/>
          <w:szCs w:val="20"/>
        </w:rPr>
        <w:t>pright</w:t>
      </w:r>
      <w:proofErr w:type="spellEnd"/>
      <w:r w:rsidR="005A3DF6">
        <w:rPr>
          <w:rFonts w:ascii="Verdana" w:hAnsi="Verdana"/>
          <w:sz w:val="20"/>
          <w:szCs w:val="20"/>
        </w:rPr>
        <w:t xml:space="preserve"> </w:t>
      </w:r>
      <w:proofErr w:type="spellStart"/>
      <w:r w:rsidR="00FE37E0">
        <w:rPr>
          <w:rFonts w:ascii="Verdana" w:hAnsi="Verdana"/>
          <w:sz w:val="20"/>
          <w:szCs w:val="20"/>
        </w:rPr>
        <w:t>c</w:t>
      </w:r>
      <w:r w:rsidR="005A3DF6">
        <w:rPr>
          <w:rFonts w:ascii="Verdana" w:hAnsi="Verdana"/>
          <w:sz w:val="20"/>
          <w:szCs w:val="20"/>
        </w:rPr>
        <w:t>ylindrical</w:t>
      </w:r>
      <w:proofErr w:type="spellEnd"/>
      <w:r w:rsidR="005A3DF6">
        <w:rPr>
          <w:rFonts w:ascii="Verdana" w:hAnsi="Verdana"/>
          <w:sz w:val="20"/>
          <w:szCs w:val="20"/>
        </w:rPr>
        <w:t xml:space="preserve"> </w:t>
      </w:r>
      <w:proofErr w:type="spellStart"/>
      <w:r w:rsidR="00FE37E0">
        <w:rPr>
          <w:rFonts w:ascii="Verdana" w:hAnsi="Verdana"/>
          <w:sz w:val="20"/>
          <w:szCs w:val="20"/>
        </w:rPr>
        <w:t>t</w:t>
      </w:r>
      <w:r w:rsidR="005F474D" w:rsidRPr="005A3DF6">
        <w:rPr>
          <w:rFonts w:ascii="Verdana" w:hAnsi="Verdana"/>
          <w:sz w:val="20"/>
          <w:szCs w:val="20"/>
        </w:rPr>
        <w:t>anks</w:t>
      </w:r>
      <w:proofErr w:type="spellEnd"/>
      <w:r w:rsidR="005F474D" w:rsidRPr="005A3DF6">
        <w:rPr>
          <w:rFonts w:ascii="Verdana" w:hAnsi="Verdana"/>
          <w:sz w:val="20"/>
          <w:szCs w:val="20"/>
        </w:rPr>
        <w:t xml:space="preserve"> </w:t>
      </w:r>
      <w:proofErr w:type="spellStart"/>
      <w:r w:rsidR="005F474D" w:rsidRPr="005A3DF6">
        <w:rPr>
          <w:rFonts w:ascii="Verdana" w:hAnsi="Verdana"/>
          <w:sz w:val="20"/>
          <w:szCs w:val="20"/>
        </w:rPr>
        <w:t>using</w:t>
      </w:r>
      <w:proofErr w:type="spellEnd"/>
      <w:r w:rsidR="005F474D" w:rsidRPr="005A3DF6">
        <w:rPr>
          <w:rFonts w:ascii="Verdana" w:hAnsi="Verdana"/>
          <w:sz w:val="20"/>
          <w:szCs w:val="20"/>
        </w:rPr>
        <w:t xml:space="preserve"> </w:t>
      </w:r>
      <w:proofErr w:type="spellStart"/>
      <w:r w:rsidR="005F474D" w:rsidRPr="005A3DF6">
        <w:rPr>
          <w:rFonts w:ascii="Verdana" w:hAnsi="Verdana"/>
          <w:sz w:val="20"/>
          <w:szCs w:val="20"/>
        </w:rPr>
        <w:t>the</w:t>
      </w:r>
      <w:proofErr w:type="spellEnd"/>
      <w:r w:rsidR="005F474D" w:rsidRPr="005A3DF6">
        <w:rPr>
          <w:rFonts w:ascii="Verdana" w:hAnsi="Verdana"/>
          <w:sz w:val="20"/>
          <w:szCs w:val="20"/>
        </w:rPr>
        <w:t xml:space="preserve"> </w:t>
      </w:r>
      <w:proofErr w:type="spellStart"/>
      <w:r w:rsidR="00FE37E0">
        <w:rPr>
          <w:rFonts w:ascii="Verdana" w:hAnsi="Verdana"/>
          <w:sz w:val="20"/>
          <w:szCs w:val="20"/>
        </w:rPr>
        <w:t>i</w:t>
      </w:r>
      <w:r w:rsidR="005F474D" w:rsidRPr="005A3DF6">
        <w:rPr>
          <w:rFonts w:ascii="Verdana" w:hAnsi="Verdana"/>
          <w:sz w:val="20"/>
          <w:szCs w:val="20"/>
        </w:rPr>
        <w:t>nternal</w:t>
      </w:r>
      <w:proofErr w:type="spellEnd"/>
      <w:r w:rsidR="005F474D" w:rsidRPr="005A3DF6">
        <w:rPr>
          <w:rFonts w:ascii="Verdana" w:hAnsi="Verdana"/>
          <w:sz w:val="20"/>
          <w:szCs w:val="20"/>
        </w:rPr>
        <w:t xml:space="preserve"> </w:t>
      </w:r>
      <w:r w:rsidR="00FE37E0">
        <w:rPr>
          <w:rFonts w:ascii="Verdana" w:hAnsi="Verdana"/>
          <w:sz w:val="20"/>
          <w:szCs w:val="20"/>
        </w:rPr>
        <w:t>e</w:t>
      </w:r>
      <w:r w:rsidR="00A869B7" w:rsidRPr="005A3DF6">
        <w:rPr>
          <w:rFonts w:ascii="Verdana" w:hAnsi="Verdana"/>
          <w:sz w:val="20"/>
          <w:szCs w:val="20"/>
        </w:rPr>
        <w:t>lectro-</w:t>
      </w:r>
      <w:proofErr w:type="spellStart"/>
      <w:r w:rsidR="00FE37E0">
        <w:rPr>
          <w:rFonts w:ascii="Verdana" w:hAnsi="Verdana"/>
          <w:sz w:val="20"/>
          <w:szCs w:val="20"/>
        </w:rPr>
        <w:t>o</w:t>
      </w:r>
      <w:r w:rsidR="00A869B7" w:rsidRPr="005A3DF6">
        <w:rPr>
          <w:rFonts w:ascii="Verdana" w:hAnsi="Verdana"/>
          <w:sz w:val="20"/>
          <w:szCs w:val="20"/>
        </w:rPr>
        <w:t>ptical</w:t>
      </w:r>
      <w:proofErr w:type="spellEnd"/>
      <w:r w:rsidR="00A869B7" w:rsidRPr="005A3DF6">
        <w:rPr>
          <w:rFonts w:ascii="Verdana" w:hAnsi="Verdana"/>
          <w:sz w:val="20"/>
          <w:szCs w:val="20"/>
        </w:rPr>
        <w:t xml:space="preserve"> </w:t>
      </w:r>
      <w:proofErr w:type="spellStart"/>
      <w:r w:rsidR="00FE37E0">
        <w:rPr>
          <w:rFonts w:ascii="Verdana" w:hAnsi="Verdana"/>
          <w:sz w:val="20"/>
          <w:szCs w:val="20"/>
        </w:rPr>
        <w:t>d</w:t>
      </w:r>
      <w:r w:rsidR="00A869B7" w:rsidRPr="005A3DF6">
        <w:rPr>
          <w:rFonts w:ascii="Verdana" w:hAnsi="Verdana"/>
          <w:sz w:val="20"/>
          <w:szCs w:val="20"/>
        </w:rPr>
        <w:t>istance</w:t>
      </w:r>
      <w:proofErr w:type="spellEnd"/>
      <w:r w:rsidR="00A869B7" w:rsidRPr="005A3DF6">
        <w:rPr>
          <w:rFonts w:ascii="Verdana" w:hAnsi="Verdana"/>
          <w:sz w:val="20"/>
          <w:szCs w:val="20"/>
        </w:rPr>
        <w:t xml:space="preserve"> </w:t>
      </w:r>
      <w:proofErr w:type="spellStart"/>
      <w:r w:rsidR="00FE37E0">
        <w:rPr>
          <w:rFonts w:ascii="Verdana" w:hAnsi="Verdana"/>
          <w:sz w:val="20"/>
          <w:szCs w:val="20"/>
        </w:rPr>
        <w:t>r</w:t>
      </w:r>
      <w:r w:rsidR="00A869B7" w:rsidRPr="005A3DF6">
        <w:rPr>
          <w:rFonts w:ascii="Verdana" w:hAnsi="Verdana"/>
          <w:sz w:val="20"/>
          <w:szCs w:val="20"/>
        </w:rPr>
        <w:t>anging</w:t>
      </w:r>
      <w:proofErr w:type="spellEnd"/>
      <w:r w:rsidR="00FE37E0">
        <w:rPr>
          <w:rFonts w:ascii="Verdana" w:hAnsi="Verdana"/>
          <w:sz w:val="20"/>
          <w:szCs w:val="20"/>
        </w:rPr>
        <w:t xml:space="preserve"> </w:t>
      </w:r>
      <w:proofErr w:type="spellStart"/>
      <w:r w:rsidR="00FE37E0">
        <w:rPr>
          <w:rFonts w:ascii="Verdana" w:hAnsi="Verdana"/>
          <w:sz w:val="20"/>
          <w:szCs w:val="20"/>
        </w:rPr>
        <w:t>method</w:t>
      </w:r>
      <w:proofErr w:type="spellEnd"/>
      <w:r w:rsidR="00FE37E0">
        <w:rPr>
          <w:rFonts w:ascii="Verdana" w:hAnsi="Verdana"/>
          <w:sz w:val="20"/>
          <w:szCs w:val="20"/>
        </w:rPr>
        <w:t>).</w:t>
      </w:r>
    </w:p>
    <w:p w:rsidR="00FE37E0" w:rsidRDefault="00FE37E0" w:rsidP="005A3DF6">
      <w:pPr>
        <w:autoSpaceDE w:val="0"/>
        <w:autoSpaceDN w:val="0"/>
        <w:adjustRightInd w:val="0"/>
        <w:spacing w:after="0" w:line="240" w:lineRule="auto"/>
        <w:ind w:firstLine="3969"/>
        <w:jc w:val="both"/>
        <w:rPr>
          <w:rFonts w:ascii="Verdana" w:hAnsi="Verdana"/>
          <w:sz w:val="20"/>
          <w:szCs w:val="20"/>
        </w:rPr>
      </w:pPr>
    </w:p>
    <w:p w:rsidR="00FE37E0" w:rsidRDefault="00983808" w:rsidP="00011EA4">
      <w:pPr>
        <w:pStyle w:val="Textocomentario"/>
        <w:ind w:firstLine="3969"/>
        <w:jc w:val="both"/>
        <w:rPr>
          <w:rFonts w:ascii="Verdana" w:hAnsi="Verdana"/>
        </w:rPr>
      </w:pPr>
      <w:r w:rsidRPr="005A3DF6">
        <w:rPr>
          <w:rFonts w:ascii="Verdana" w:hAnsi="Verdana"/>
        </w:rPr>
        <w:t xml:space="preserve">Que, se ha estimado necesario incorporar a la Resolución N° 5234/2013 </w:t>
      </w:r>
      <w:r w:rsidR="00A869B7" w:rsidRPr="005A3DF6">
        <w:rPr>
          <w:rFonts w:ascii="Verdana" w:hAnsi="Verdana"/>
        </w:rPr>
        <w:t xml:space="preserve">esta nueva </w:t>
      </w:r>
      <w:r w:rsidRPr="005A3DF6">
        <w:rPr>
          <w:rFonts w:ascii="Verdana" w:hAnsi="Verdana"/>
        </w:rPr>
        <w:t xml:space="preserve">tecnología para el servicio de calibración de estanques, en base </w:t>
      </w:r>
      <w:r w:rsidR="005F474D" w:rsidRPr="005A3DF6">
        <w:rPr>
          <w:rFonts w:ascii="Verdana" w:hAnsi="Verdana"/>
        </w:rPr>
        <w:t xml:space="preserve">a </w:t>
      </w:r>
      <w:r w:rsidR="00FE37E0" w:rsidRPr="005A3DF6">
        <w:rPr>
          <w:rFonts w:ascii="Verdana" w:hAnsi="Verdana"/>
        </w:rPr>
        <w:t>la norma ISO 7507, Partes 4 y</w:t>
      </w:r>
      <w:r w:rsidR="00FE37E0">
        <w:rPr>
          <w:rFonts w:ascii="Verdana" w:hAnsi="Verdana"/>
        </w:rPr>
        <w:t xml:space="preserve"> </w:t>
      </w:r>
      <w:r w:rsidR="00FE37E0" w:rsidRPr="005A3DF6">
        <w:rPr>
          <w:rFonts w:ascii="Verdana" w:hAnsi="Verdana"/>
        </w:rPr>
        <w:t>5 –</w:t>
      </w:r>
      <w:r w:rsidR="00FE37E0">
        <w:rPr>
          <w:rFonts w:ascii="Verdana" w:hAnsi="Verdana"/>
        </w:rPr>
        <w:t xml:space="preserve"> EODR o al </w:t>
      </w:r>
      <w:r w:rsidR="00F81036">
        <w:rPr>
          <w:rFonts w:ascii="Verdana" w:hAnsi="Verdana"/>
        </w:rPr>
        <w:t xml:space="preserve">manual </w:t>
      </w:r>
      <w:r w:rsidR="00FE37E0">
        <w:rPr>
          <w:rFonts w:ascii="Verdana" w:hAnsi="Verdana"/>
        </w:rPr>
        <w:t xml:space="preserve">API MPMS </w:t>
      </w:r>
      <w:proofErr w:type="spellStart"/>
      <w:r w:rsidR="00FE37E0">
        <w:rPr>
          <w:rFonts w:ascii="Verdana" w:hAnsi="Verdana"/>
        </w:rPr>
        <w:t>Chapter</w:t>
      </w:r>
      <w:proofErr w:type="spellEnd"/>
      <w:r w:rsidR="00FE37E0">
        <w:rPr>
          <w:rFonts w:ascii="Verdana" w:hAnsi="Verdana"/>
        </w:rPr>
        <w:t xml:space="preserve"> 2.2D.</w:t>
      </w:r>
    </w:p>
    <w:p w:rsidR="00FE37E0" w:rsidRDefault="00992890" w:rsidP="00DE3117">
      <w:pPr>
        <w:ind w:firstLine="3969"/>
        <w:jc w:val="both"/>
        <w:rPr>
          <w:rFonts w:ascii="Verdana" w:hAnsi="Verdana"/>
          <w:sz w:val="20"/>
          <w:szCs w:val="20"/>
        </w:rPr>
      </w:pPr>
      <w:r w:rsidRPr="005A3DF6">
        <w:rPr>
          <w:rFonts w:ascii="Verdana" w:hAnsi="Verdana"/>
          <w:sz w:val="20"/>
          <w:szCs w:val="20"/>
        </w:rPr>
        <w:t>Que</w:t>
      </w:r>
      <w:r w:rsidR="00DE3117" w:rsidRPr="005A3DF6">
        <w:rPr>
          <w:rFonts w:ascii="Verdana" w:hAnsi="Verdana"/>
          <w:sz w:val="20"/>
          <w:szCs w:val="20"/>
        </w:rPr>
        <w:t>,</w:t>
      </w:r>
      <w:r w:rsidRPr="005A3DF6">
        <w:rPr>
          <w:rFonts w:ascii="Verdana" w:hAnsi="Verdana"/>
          <w:sz w:val="20"/>
          <w:szCs w:val="20"/>
        </w:rPr>
        <w:t xml:space="preserve"> de acuerdo a lo observado por el Laboratorio Químico de este Servicio, </w:t>
      </w:r>
      <w:proofErr w:type="spellStart"/>
      <w:r w:rsidRPr="005A3DF6">
        <w:rPr>
          <w:rFonts w:ascii="Verdana" w:hAnsi="Verdana"/>
          <w:sz w:val="20"/>
          <w:szCs w:val="20"/>
        </w:rPr>
        <w:t>a</w:t>
      </w:r>
      <w:r w:rsidR="00FE37E0">
        <w:rPr>
          <w:rFonts w:ascii="Verdana" w:hAnsi="Verdana"/>
          <w:sz w:val="20"/>
          <w:szCs w:val="20"/>
        </w:rPr>
        <w:t>ú</w:t>
      </w:r>
      <w:r w:rsidRPr="005A3DF6">
        <w:rPr>
          <w:rFonts w:ascii="Verdana" w:hAnsi="Verdana"/>
          <w:sz w:val="20"/>
          <w:szCs w:val="20"/>
        </w:rPr>
        <w:t>n</w:t>
      </w:r>
      <w:proofErr w:type="spellEnd"/>
      <w:r w:rsidRPr="005A3DF6">
        <w:rPr>
          <w:rFonts w:ascii="Verdana" w:hAnsi="Verdana"/>
          <w:sz w:val="20"/>
          <w:szCs w:val="20"/>
        </w:rPr>
        <w:t xml:space="preserve"> cuando las normas internacionales no señalan </w:t>
      </w:r>
      <w:r w:rsidR="00FE37E0">
        <w:rPr>
          <w:rFonts w:ascii="Verdana" w:hAnsi="Verdana"/>
          <w:sz w:val="20"/>
          <w:szCs w:val="20"/>
        </w:rPr>
        <w:t xml:space="preserve"> </w:t>
      </w:r>
      <w:r w:rsidRPr="005A3DF6">
        <w:rPr>
          <w:rFonts w:ascii="Verdana" w:hAnsi="Verdana"/>
          <w:sz w:val="20"/>
          <w:szCs w:val="20"/>
        </w:rPr>
        <w:t xml:space="preserve">la </w:t>
      </w:r>
      <w:r w:rsidR="00FE37E0">
        <w:rPr>
          <w:rFonts w:ascii="Verdana" w:hAnsi="Verdana"/>
          <w:sz w:val="20"/>
          <w:szCs w:val="20"/>
        </w:rPr>
        <w:t xml:space="preserve"> </w:t>
      </w:r>
      <w:r w:rsidRPr="005A3DF6">
        <w:rPr>
          <w:rFonts w:ascii="Verdana" w:hAnsi="Verdana"/>
          <w:sz w:val="20"/>
          <w:szCs w:val="20"/>
        </w:rPr>
        <w:t xml:space="preserve">periodicidad </w:t>
      </w:r>
      <w:r w:rsidR="00FE37E0">
        <w:rPr>
          <w:rFonts w:ascii="Verdana" w:hAnsi="Verdana"/>
          <w:sz w:val="20"/>
          <w:szCs w:val="20"/>
        </w:rPr>
        <w:t xml:space="preserve"> </w:t>
      </w:r>
      <w:r w:rsidRPr="005A3DF6">
        <w:rPr>
          <w:rFonts w:ascii="Verdana" w:hAnsi="Verdana"/>
          <w:sz w:val="20"/>
          <w:szCs w:val="20"/>
        </w:rPr>
        <w:t xml:space="preserve">para las </w:t>
      </w:r>
      <w:r w:rsidR="00FE37E0">
        <w:rPr>
          <w:rFonts w:ascii="Verdana" w:hAnsi="Verdana"/>
          <w:sz w:val="20"/>
          <w:szCs w:val="20"/>
        </w:rPr>
        <w:t xml:space="preserve">   </w:t>
      </w:r>
      <w:proofErr w:type="spellStart"/>
      <w:r w:rsidRPr="005A3DF6">
        <w:rPr>
          <w:rFonts w:ascii="Verdana" w:hAnsi="Verdana"/>
          <w:sz w:val="20"/>
          <w:szCs w:val="20"/>
        </w:rPr>
        <w:t>recalibraciones</w:t>
      </w:r>
      <w:proofErr w:type="spellEnd"/>
      <w:r w:rsidRPr="005A3DF6">
        <w:rPr>
          <w:rFonts w:ascii="Verdana" w:hAnsi="Verdana"/>
          <w:sz w:val="20"/>
          <w:szCs w:val="20"/>
        </w:rPr>
        <w:t xml:space="preserve"> de estanques, </w:t>
      </w:r>
      <w:r w:rsidR="00FE37E0">
        <w:rPr>
          <w:rFonts w:ascii="Verdana" w:hAnsi="Verdana"/>
          <w:sz w:val="20"/>
          <w:szCs w:val="20"/>
        </w:rPr>
        <w:t xml:space="preserve">  </w:t>
      </w:r>
      <w:r w:rsidR="00DE3117" w:rsidRPr="005A3DF6">
        <w:rPr>
          <w:rFonts w:ascii="Verdana" w:hAnsi="Verdana"/>
          <w:sz w:val="20"/>
          <w:szCs w:val="20"/>
        </w:rPr>
        <w:t xml:space="preserve">estableciendo </w:t>
      </w:r>
      <w:r w:rsidRPr="005A3DF6">
        <w:rPr>
          <w:rFonts w:ascii="Verdana" w:hAnsi="Verdana"/>
          <w:sz w:val="20"/>
          <w:szCs w:val="20"/>
        </w:rPr>
        <w:t xml:space="preserve">como </w:t>
      </w:r>
    </w:p>
    <w:p w:rsidR="00FE37E0" w:rsidRDefault="00FE37E0" w:rsidP="00DE3117">
      <w:pPr>
        <w:ind w:firstLine="3969"/>
        <w:jc w:val="both"/>
        <w:rPr>
          <w:rFonts w:ascii="Verdana" w:hAnsi="Verdana"/>
          <w:sz w:val="20"/>
          <w:szCs w:val="20"/>
        </w:rPr>
      </w:pPr>
    </w:p>
    <w:p w:rsidR="00992890" w:rsidRPr="005A3DF6" w:rsidRDefault="00992890" w:rsidP="00FE37E0">
      <w:pPr>
        <w:jc w:val="both"/>
        <w:rPr>
          <w:rFonts w:ascii="Verdana" w:hAnsi="Verdana"/>
          <w:sz w:val="20"/>
          <w:szCs w:val="20"/>
        </w:rPr>
      </w:pPr>
      <w:r w:rsidRPr="005A3DF6">
        <w:rPr>
          <w:rFonts w:ascii="Verdana" w:hAnsi="Verdana"/>
          <w:sz w:val="20"/>
          <w:szCs w:val="20"/>
        </w:rPr>
        <w:lastRenderedPageBreak/>
        <w:t>recomendación un período entre 5 a 10 años</w:t>
      </w:r>
      <w:r w:rsidR="00DE3117" w:rsidRPr="005A3DF6">
        <w:rPr>
          <w:rFonts w:ascii="Verdana" w:hAnsi="Verdana"/>
          <w:sz w:val="20"/>
          <w:szCs w:val="20"/>
        </w:rPr>
        <w:t xml:space="preserve">, se ha estimado </w:t>
      </w:r>
      <w:r w:rsidRPr="005A3DF6">
        <w:rPr>
          <w:rFonts w:ascii="Verdana" w:hAnsi="Verdana"/>
          <w:sz w:val="20"/>
          <w:szCs w:val="20"/>
        </w:rPr>
        <w:t xml:space="preserve">procedente mantener el plazo de 10 años de vigencia para las Tablas de Calibración de los Estanques destinados al depósito de </w:t>
      </w:r>
      <w:proofErr w:type="spellStart"/>
      <w:r w:rsidRPr="005A3DF6">
        <w:rPr>
          <w:rFonts w:ascii="Verdana" w:hAnsi="Verdana"/>
          <w:sz w:val="20"/>
          <w:szCs w:val="20"/>
        </w:rPr>
        <w:t>graneles</w:t>
      </w:r>
      <w:proofErr w:type="spellEnd"/>
      <w:r w:rsidRPr="005A3DF6">
        <w:rPr>
          <w:rFonts w:ascii="Verdana" w:hAnsi="Verdana"/>
          <w:sz w:val="20"/>
          <w:szCs w:val="20"/>
        </w:rPr>
        <w:t xml:space="preserve"> líquidos</w:t>
      </w:r>
      <w:r w:rsidR="00A869B7" w:rsidRPr="005A3DF6">
        <w:rPr>
          <w:rFonts w:ascii="Verdana" w:hAnsi="Verdana"/>
          <w:sz w:val="20"/>
          <w:szCs w:val="20"/>
        </w:rPr>
        <w:t>,</w:t>
      </w:r>
      <w:r w:rsidRPr="005A3DF6">
        <w:rPr>
          <w:rFonts w:ascii="Verdana" w:hAnsi="Verdana"/>
          <w:sz w:val="20"/>
          <w:szCs w:val="20"/>
        </w:rPr>
        <w:t xml:space="preserve"> e incorporar como exigencia, que una vez cumplido el plazo de 5 años contabilizado de</w:t>
      </w:r>
      <w:r w:rsidR="00A869B7" w:rsidRPr="005A3DF6">
        <w:rPr>
          <w:rFonts w:ascii="Verdana" w:hAnsi="Verdana"/>
          <w:sz w:val="20"/>
          <w:szCs w:val="20"/>
        </w:rPr>
        <w:t>sde</w:t>
      </w:r>
      <w:r w:rsidRPr="005A3DF6">
        <w:rPr>
          <w:rFonts w:ascii="Verdana" w:hAnsi="Verdana"/>
          <w:sz w:val="20"/>
          <w:szCs w:val="20"/>
        </w:rPr>
        <w:t xml:space="preserve"> la fecha de habilitación del estanque, se present</w:t>
      </w:r>
      <w:r w:rsidR="00DE3117" w:rsidRPr="005A3DF6">
        <w:rPr>
          <w:rFonts w:ascii="Verdana" w:hAnsi="Verdana"/>
          <w:sz w:val="20"/>
          <w:szCs w:val="20"/>
        </w:rPr>
        <w:t>e</w:t>
      </w:r>
      <w:r w:rsidRPr="005A3DF6">
        <w:rPr>
          <w:rFonts w:ascii="Verdana" w:hAnsi="Verdana"/>
          <w:sz w:val="20"/>
          <w:szCs w:val="20"/>
        </w:rPr>
        <w:t xml:space="preserve"> a la Aduana un documento emitido por un organismo registrado en el Servicio Nacional de Aduanas para calibrar estanques,  que certifique que el estanque no ha variado las condiciones iniciales que dieron orig</w:t>
      </w:r>
      <w:r w:rsidR="00DE3117" w:rsidRPr="005A3DF6">
        <w:rPr>
          <w:rFonts w:ascii="Verdana" w:hAnsi="Verdana"/>
          <w:sz w:val="20"/>
          <w:szCs w:val="20"/>
        </w:rPr>
        <w:t>en a las Tablas de Calibración, y</w:t>
      </w:r>
    </w:p>
    <w:p w:rsidR="00992890" w:rsidRPr="005A3DF6" w:rsidRDefault="00992890"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sz w:val="20"/>
          <w:szCs w:val="20"/>
        </w:rPr>
      </w:pPr>
      <w:r w:rsidRPr="005A3DF6">
        <w:rPr>
          <w:rFonts w:ascii="Verdana" w:hAnsi="Verdana"/>
          <w:b/>
          <w:sz w:val="20"/>
          <w:szCs w:val="20"/>
        </w:rPr>
        <w:t>TENIENDO PRESENTE:</w:t>
      </w:r>
      <w:r w:rsidRPr="005A3DF6">
        <w:rPr>
          <w:rFonts w:ascii="Verdana" w:hAnsi="Verdana"/>
          <w:sz w:val="20"/>
          <w:szCs w:val="20"/>
        </w:rPr>
        <w:t xml:space="preserve"> Lo dispuesto en el artículo 77 de la Ordenanza de Aduanas, en los números 7 y 8 del artículo 4° del DFL N° 329 de 1979, y en la Resolución N°1600/2008 de la Contraloría General de la República, sobre exención del trámite de toma de razón, dicto la siguiente:</w:t>
      </w:r>
    </w:p>
    <w:p w:rsidR="00983808" w:rsidRPr="005A3DF6" w:rsidRDefault="00983808" w:rsidP="00992890">
      <w:pPr>
        <w:spacing w:after="0" w:line="240" w:lineRule="auto"/>
        <w:ind w:firstLine="3969"/>
        <w:jc w:val="both"/>
        <w:rPr>
          <w:rFonts w:ascii="Verdana" w:hAnsi="Verdana"/>
          <w:sz w:val="20"/>
          <w:szCs w:val="20"/>
        </w:rPr>
      </w:pPr>
    </w:p>
    <w:p w:rsidR="00DE3117" w:rsidRPr="005A3DF6" w:rsidRDefault="00DE3117" w:rsidP="00992890">
      <w:pPr>
        <w:spacing w:after="0" w:line="240" w:lineRule="auto"/>
        <w:ind w:firstLine="3969"/>
        <w:jc w:val="both"/>
        <w:rPr>
          <w:rFonts w:ascii="Verdana" w:hAnsi="Verdana"/>
          <w:sz w:val="20"/>
          <w:szCs w:val="20"/>
        </w:rPr>
      </w:pPr>
    </w:p>
    <w:p w:rsidR="00983808" w:rsidRPr="005A3DF6" w:rsidRDefault="00983808" w:rsidP="00992890">
      <w:pPr>
        <w:spacing w:after="0" w:line="240" w:lineRule="auto"/>
        <w:ind w:firstLine="3969"/>
        <w:jc w:val="both"/>
        <w:rPr>
          <w:rFonts w:ascii="Verdana" w:hAnsi="Verdana"/>
          <w:b/>
          <w:sz w:val="20"/>
          <w:szCs w:val="20"/>
        </w:rPr>
      </w:pPr>
      <w:r w:rsidRPr="005A3DF6">
        <w:rPr>
          <w:rFonts w:ascii="Verdana" w:hAnsi="Verdana"/>
          <w:b/>
          <w:sz w:val="20"/>
          <w:szCs w:val="20"/>
        </w:rPr>
        <w:t>R E S O L U C I Ó N:</w:t>
      </w:r>
    </w:p>
    <w:p w:rsidR="00DE3117" w:rsidRPr="005A3DF6" w:rsidRDefault="00983808" w:rsidP="00992890">
      <w:pPr>
        <w:spacing w:after="0" w:line="240" w:lineRule="auto"/>
        <w:jc w:val="both"/>
        <w:rPr>
          <w:rFonts w:ascii="Verdana" w:hAnsi="Verdana"/>
          <w:sz w:val="20"/>
          <w:szCs w:val="20"/>
        </w:rPr>
      </w:pPr>
      <w:r w:rsidRPr="005A3DF6">
        <w:rPr>
          <w:rFonts w:ascii="Verdana" w:hAnsi="Verdana"/>
          <w:sz w:val="20"/>
          <w:szCs w:val="20"/>
        </w:rPr>
        <w:tab/>
      </w:r>
    </w:p>
    <w:p w:rsidR="00983808" w:rsidRPr="005A3DF6" w:rsidRDefault="00983808" w:rsidP="00DC7C31">
      <w:pPr>
        <w:spacing w:after="0" w:line="240" w:lineRule="auto"/>
        <w:ind w:left="284" w:hanging="284"/>
        <w:jc w:val="both"/>
        <w:rPr>
          <w:rFonts w:ascii="Verdana" w:hAnsi="Verdana"/>
          <w:sz w:val="20"/>
          <w:szCs w:val="20"/>
        </w:rPr>
      </w:pPr>
      <w:r w:rsidRPr="005A3DF6">
        <w:rPr>
          <w:rFonts w:ascii="Verdana" w:hAnsi="Verdana"/>
          <w:b/>
          <w:sz w:val="20"/>
          <w:szCs w:val="20"/>
        </w:rPr>
        <w:t xml:space="preserve">I. </w:t>
      </w:r>
      <w:r w:rsidR="00DE3117" w:rsidRPr="005A3DF6">
        <w:rPr>
          <w:rFonts w:ascii="Verdana" w:hAnsi="Verdana"/>
          <w:b/>
          <w:sz w:val="20"/>
          <w:szCs w:val="20"/>
        </w:rPr>
        <w:t xml:space="preserve">MODIFÍQUESE </w:t>
      </w:r>
      <w:r w:rsidR="00DE3117" w:rsidRPr="005A3DF6">
        <w:rPr>
          <w:rFonts w:ascii="Verdana" w:hAnsi="Verdana"/>
          <w:sz w:val="20"/>
          <w:szCs w:val="20"/>
        </w:rPr>
        <w:t>como se indica la</w:t>
      </w:r>
      <w:r w:rsidR="00DE3117" w:rsidRPr="005A3DF6">
        <w:rPr>
          <w:rFonts w:ascii="Verdana" w:hAnsi="Verdana"/>
          <w:b/>
          <w:sz w:val="20"/>
          <w:szCs w:val="20"/>
        </w:rPr>
        <w:t xml:space="preserve"> </w:t>
      </w:r>
      <w:r w:rsidRPr="005A3DF6">
        <w:rPr>
          <w:rFonts w:ascii="Verdana" w:hAnsi="Verdana"/>
          <w:sz w:val="20"/>
          <w:szCs w:val="20"/>
        </w:rPr>
        <w:t xml:space="preserve">Resolución N°5234 de 24.05.2013 que estableció un “Procedimiento de Control de Destinaciones Aduaneras que amparen </w:t>
      </w:r>
      <w:proofErr w:type="spellStart"/>
      <w:r w:rsidRPr="005A3DF6">
        <w:rPr>
          <w:rFonts w:ascii="Verdana" w:hAnsi="Verdana"/>
          <w:sz w:val="20"/>
          <w:szCs w:val="20"/>
        </w:rPr>
        <w:t>gr</w:t>
      </w:r>
      <w:r w:rsidR="008F7AAC" w:rsidRPr="005A3DF6">
        <w:rPr>
          <w:rFonts w:ascii="Verdana" w:hAnsi="Verdana"/>
          <w:sz w:val="20"/>
          <w:szCs w:val="20"/>
        </w:rPr>
        <w:t>a</w:t>
      </w:r>
      <w:r w:rsidRPr="005A3DF6">
        <w:rPr>
          <w:rFonts w:ascii="Verdana" w:hAnsi="Verdana"/>
          <w:sz w:val="20"/>
          <w:szCs w:val="20"/>
        </w:rPr>
        <w:t>neles</w:t>
      </w:r>
      <w:proofErr w:type="spellEnd"/>
      <w:r w:rsidRPr="005A3DF6">
        <w:rPr>
          <w:rFonts w:ascii="Verdana" w:hAnsi="Verdana"/>
          <w:sz w:val="20"/>
          <w:szCs w:val="20"/>
        </w:rPr>
        <w:t xml:space="preserve"> líquidos, Medición de Estanques, Medición de otros </w:t>
      </w:r>
      <w:proofErr w:type="spellStart"/>
      <w:r w:rsidRPr="005A3DF6">
        <w:rPr>
          <w:rFonts w:ascii="Verdana" w:hAnsi="Verdana"/>
          <w:sz w:val="20"/>
          <w:szCs w:val="20"/>
        </w:rPr>
        <w:t>gr</w:t>
      </w:r>
      <w:r w:rsidR="008F7AAC" w:rsidRPr="005A3DF6">
        <w:rPr>
          <w:rFonts w:ascii="Verdana" w:hAnsi="Verdana"/>
          <w:sz w:val="20"/>
          <w:szCs w:val="20"/>
        </w:rPr>
        <w:t>a</w:t>
      </w:r>
      <w:r w:rsidRPr="005A3DF6">
        <w:rPr>
          <w:rFonts w:ascii="Verdana" w:hAnsi="Verdana"/>
          <w:sz w:val="20"/>
          <w:szCs w:val="20"/>
        </w:rPr>
        <w:t>neles</w:t>
      </w:r>
      <w:proofErr w:type="spellEnd"/>
      <w:r w:rsidRPr="005A3DF6">
        <w:rPr>
          <w:rFonts w:ascii="Verdana" w:hAnsi="Verdana"/>
          <w:sz w:val="20"/>
          <w:szCs w:val="20"/>
        </w:rPr>
        <w:t xml:space="preserve"> líquidos”.</w:t>
      </w:r>
    </w:p>
    <w:p w:rsidR="00DE3117" w:rsidRPr="005A3DF6" w:rsidRDefault="00DE3117" w:rsidP="00992890">
      <w:pPr>
        <w:spacing w:after="0" w:line="240" w:lineRule="auto"/>
        <w:jc w:val="both"/>
        <w:rPr>
          <w:rFonts w:ascii="Verdana" w:hAnsi="Verdana"/>
          <w:sz w:val="20"/>
          <w:szCs w:val="20"/>
        </w:rPr>
      </w:pPr>
    </w:p>
    <w:p w:rsidR="00DE3117" w:rsidRPr="005A3DF6" w:rsidRDefault="00DE3117" w:rsidP="00DC7C31">
      <w:pPr>
        <w:pStyle w:val="Prrafodelista"/>
        <w:numPr>
          <w:ilvl w:val="0"/>
          <w:numId w:val="2"/>
        </w:numPr>
        <w:spacing w:after="0" w:line="240" w:lineRule="auto"/>
        <w:ind w:hanging="436"/>
        <w:jc w:val="both"/>
        <w:rPr>
          <w:rFonts w:ascii="Verdana" w:hAnsi="Verdana"/>
          <w:sz w:val="20"/>
          <w:szCs w:val="20"/>
        </w:rPr>
      </w:pPr>
      <w:r w:rsidRPr="005A3DF6">
        <w:rPr>
          <w:rFonts w:ascii="Verdana" w:hAnsi="Verdana"/>
          <w:sz w:val="20"/>
          <w:szCs w:val="20"/>
        </w:rPr>
        <w:t>S</w:t>
      </w:r>
      <w:r w:rsidR="00DC7C31" w:rsidRPr="005A3DF6">
        <w:rPr>
          <w:rFonts w:ascii="Verdana" w:hAnsi="Verdana"/>
          <w:sz w:val="20"/>
          <w:szCs w:val="20"/>
        </w:rPr>
        <w:t>USTIT</w:t>
      </w:r>
      <w:r w:rsidR="00D62B53" w:rsidRPr="005A3DF6">
        <w:rPr>
          <w:rFonts w:ascii="Verdana" w:hAnsi="Verdana"/>
          <w:sz w:val="20"/>
          <w:szCs w:val="20"/>
        </w:rPr>
        <w:t>Ú</w:t>
      </w:r>
      <w:r w:rsidR="00DC7C31" w:rsidRPr="005A3DF6">
        <w:rPr>
          <w:rFonts w:ascii="Verdana" w:hAnsi="Verdana"/>
          <w:sz w:val="20"/>
          <w:szCs w:val="20"/>
        </w:rPr>
        <w:t xml:space="preserve">YASE </w:t>
      </w:r>
      <w:r w:rsidRPr="005A3DF6">
        <w:rPr>
          <w:rFonts w:ascii="Verdana" w:hAnsi="Verdana"/>
          <w:sz w:val="20"/>
          <w:szCs w:val="20"/>
        </w:rPr>
        <w:t>el numeral 9.2 por el siguiente:</w:t>
      </w:r>
    </w:p>
    <w:p w:rsidR="00DE3117" w:rsidRPr="005A3DF6" w:rsidRDefault="00DE3117" w:rsidP="00DE3117">
      <w:pPr>
        <w:spacing w:after="0" w:line="240" w:lineRule="auto"/>
        <w:jc w:val="both"/>
        <w:rPr>
          <w:rFonts w:ascii="Verdana" w:hAnsi="Verdana"/>
          <w:sz w:val="20"/>
          <w:szCs w:val="20"/>
        </w:rPr>
      </w:pPr>
    </w:p>
    <w:p w:rsidR="00541248" w:rsidRPr="005A3DF6" w:rsidRDefault="00DE3117" w:rsidP="00DC7C31">
      <w:pPr>
        <w:ind w:left="1134" w:hanging="425"/>
        <w:jc w:val="both"/>
        <w:rPr>
          <w:rFonts w:ascii="Verdana" w:hAnsi="Verdana"/>
          <w:sz w:val="20"/>
          <w:szCs w:val="20"/>
        </w:rPr>
      </w:pPr>
      <w:r w:rsidRPr="005A3DF6">
        <w:rPr>
          <w:rFonts w:ascii="Verdana" w:hAnsi="Verdana"/>
          <w:sz w:val="20"/>
          <w:szCs w:val="20"/>
        </w:rPr>
        <w:t>9.2</w:t>
      </w:r>
      <w:r w:rsidRPr="005A3DF6">
        <w:rPr>
          <w:rFonts w:ascii="Verdana" w:hAnsi="Verdana"/>
          <w:sz w:val="20"/>
          <w:szCs w:val="20"/>
        </w:rPr>
        <w:tab/>
      </w:r>
      <w:r w:rsidRPr="005A3DF6">
        <w:rPr>
          <w:rFonts w:ascii="Verdana" w:hAnsi="Verdana"/>
          <w:sz w:val="20"/>
          <w:szCs w:val="20"/>
          <w:lang w:val="es-ES"/>
        </w:rPr>
        <w:t xml:space="preserve">En consecuencia, se ha determinado que, si no se presenta ninguna de las circunstancias señaladas en los puntos 9.1.1 a 9.1.4, las Tablas de Calibración de los Estanques destinados al depósito de </w:t>
      </w:r>
      <w:proofErr w:type="spellStart"/>
      <w:r w:rsidRPr="005A3DF6">
        <w:rPr>
          <w:rFonts w:ascii="Verdana" w:hAnsi="Verdana"/>
          <w:sz w:val="20"/>
          <w:szCs w:val="20"/>
          <w:lang w:val="es-ES"/>
        </w:rPr>
        <w:t>gr</w:t>
      </w:r>
      <w:r w:rsidR="00DC7C31" w:rsidRPr="005A3DF6">
        <w:rPr>
          <w:rFonts w:ascii="Verdana" w:hAnsi="Verdana"/>
          <w:sz w:val="20"/>
          <w:szCs w:val="20"/>
          <w:lang w:val="es-ES"/>
        </w:rPr>
        <w:t>a</w:t>
      </w:r>
      <w:r w:rsidRPr="005A3DF6">
        <w:rPr>
          <w:rFonts w:ascii="Verdana" w:hAnsi="Verdana"/>
          <w:sz w:val="20"/>
          <w:szCs w:val="20"/>
          <w:lang w:val="es-ES"/>
        </w:rPr>
        <w:t>neles</w:t>
      </w:r>
      <w:proofErr w:type="spellEnd"/>
      <w:r w:rsidRPr="005A3DF6">
        <w:rPr>
          <w:rFonts w:ascii="Verdana" w:hAnsi="Verdana"/>
          <w:sz w:val="20"/>
          <w:szCs w:val="20"/>
          <w:lang w:val="es-ES"/>
        </w:rPr>
        <w:t xml:space="preserve"> líquidos</w:t>
      </w:r>
      <w:r w:rsidR="00DC7C31" w:rsidRPr="005A3DF6">
        <w:rPr>
          <w:rFonts w:ascii="Verdana" w:hAnsi="Verdana"/>
          <w:sz w:val="20"/>
          <w:szCs w:val="20"/>
          <w:lang w:val="es-ES"/>
        </w:rPr>
        <w:t xml:space="preserve"> tendrán  un período de vigencia de 10 años. No obstante, </w:t>
      </w:r>
      <w:r w:rsidR="00DC7C31" w:rsidRPr="005A3DF6">
        <w:rPr>
          <w:rFonts w:ascii="Verdana" w:hAnsi="Verdana"/>
          <w:sz w:val="20"/>
          <w:szCs w:val="20"/>
        </w:rPr>
        <w:t>una vez cumplido el plazo de 5 años contabilizados de</w:t>
      </w:r>
      <w:r w:rsidR="00D62B53" w:rsidRPr="005A3DF6">
        <w:rPr>
          <w:rFonts w:ascii="Verdana" w:hAnsi="Verdana"/>
          <w:sz w:val="20"/>
          <w:szCs w:val="20"/>
        </w:rPr>
        <w:t>sde</w:t>
      </w:r>
      <w:r w:rsidR="00DC7C31" w:rsidRPr="005A3DF6">
        <w:rPr>
          <w:rFonts w:ascii="Verdana" w:hAnsi="Verdana"/>
          <w:sz w:val="20"/>
          <w:szCs w:val="20"/>
        </w:rPr>
        <w:t xml:space="preserve"> la fecha de habilitación del estanque, se deberá  presentar a la Aduana </w:t>
      </w:r>
      <w:r w:rsidR="00D62B53" w:rsidRPr="005A3DF6">
        <w:rPr>
          <w:rFonts w:ascii="Verdana" w:hAnsi="Verdana"/>
          <w:sz w:val="20"/>
          <w:szCs w:val="20"/>
        </w:rPr>
        <w:t xml:space="preserve">de jurisdicción </w:t>
      </w:r>
      <w:r w:rsidR="00DC7C31" w:rsidRPr="005A3DF6">
        <w:rPr>
          <w:rFonts w:ascii="Verdana" w:hAnsi="Verdana"/>
          <w:sz w:val="20"/>
          <w:szCs w:val="20"/>
        </w:rPr>
        <w:t xml:space="preserve">un documento emitido por un organismo registrado </w:t>
      </w:r>
      <w:r w:rsidR="00D62B53" w:rsidRPr="005A3DF6">
        <w:rPr>
          <w:rFonts w:ascii="Verdana" w:hAnsi="Verdana"/>
          <w:sz w:val="20"/>
          <w:szCs w:val="20"/>
        </w:rPr>
        <w:t xml:space="preserve">ante el Servicio de Aduanas </w:t>
      </w:r>
      <w:r w:rsidR="00DC7C31" w:rsidRPr="005A3DF6">
        <w:rPr>
          <w:rFonts w:ascii="Verdana" w:hAnsi="Verdana"/>
          <w:sz w:val="20"/>
          <w:szCs w:val="20"/>
        </w:rPr>
        <w:t xml:space="preserve">para calibrar estanques,  que certifique que éste no ha variado las condiciones iniciales que dieron origen a las Tablas de Calibración. Este documento deberá ser presentado anualmente, </w:t>
      </w:r>
      <w:r w:rsidR="00541248" w:rsidRPr="005A3DF6">
        <w:rPr>
          <w:rFonts w:ascii="Verdana" w:hAnsi="Verdana"/>
          <w:sz w:val="20"/>
          <w:szCs w:val="20"/>
        </w:rPr>
        <w:t xml:space="preserve">desde el año 5 hasta el año 10, dentro de los 15 días corridos siguientes a la fecha en que se cumpla un año más de la correspondiente habilitación. </w:t>
      </w:r>
    </w:p>
    <w:p w:rsidR="008F7AAC" w:rsidRPr="005A3DF6" w:rsidRDefault="00983808" w:rsidP="00992890">
      <w:pPr>
        <w:spacing w:after="0" w:line="240" w:lineRule="auto"/>
        <w:jc w:val="both"/>
        <w:rPr>
          <w:rFonts w:ascii="Verdana" w:hAnsi="Verdana"/>
          <w:sz w:val="20"/>
          <w:szCs w:val="20"/>
        </w:rPr>
      </w:pPr>
      <w:r w:rsidRPr="005A3DF6">
        <w:rPr>
          <w:rFonts w:ascii="Verdana" w:hAnsi="Verdana"/>
          <w:sz w:val="20"/>
          <w:szCs w:val="20"/>
        </w:rPr>
        <w:t xml:space="preserve">   </w:t>
      </w:r>
    </w:p>
    <w:p w:rsidR="00983808" w:rsidRPr="005A3DF6" w:rsidRDefault="00983808" w:rsidP="00DC7C31">
      <w:pPr>
        <w:pStyle w:val="Prrafodelista"/>
        <w:numPr>
          <w:ilvl w:val="0"/>
          <w:numId w:val="2"/>
        </w:numPr>
        <w:spacing w:after="0" w:line="240" w:lineRule="auto"/>
        <w:jc w:val="both"/>
        <w:rPr>
          <w:rFonts w:ascii="Verdana" w:hAnsi="Verdana"/>
          <w:sz w:val="20"/>
          <w:szCs w:val="20"/>
        </w:rPr>
      </w:pPr>
      <w:r w:rsidRPr="005A3DF6">
        <w:rPr>
          <w:rFonts w:ascii="Verdana" w:hAnsi="Verdana"/>
          <w:sz w:val="20"/>
          <w:szCs w:val="20"/>
        </w:rPr>
        <w:t>AGRÉGANSE, los siguiente</w:t>
      </w:r>
      <w:r w:rsidR="00541248" w:rsidRPr="005A3DF6">
        <w:rPr>
          <w:rFonts w:ascii="Verdana" w:hAnsi="Verdana"/>
          <w:sz w:val="20"/>
          <w:szCs w:val="20"/>
        </w:rPr>
        <w:t>s</w:t>
      </w:r>
      <w:r w:rsidRPr="005A3DF6">
        <w:rPr>
          <w:rFonts w:ascii="Verdana" w:hAnsi="Verdana"/>
          <w:sz w:val="20"/>
          <w:szCs w:val="20"/>
        </w:rPr>
        <w:t xml:space="preserve"> Numerales 9.3 y 9.4:</w:t>
      </w:r>
    </w:p>
    <w:p w:rsidR="008F7AAC" w:rsidRPr="005A3DF6" w:rsidRDefault="008F7AAC" w:rsidP="00992890">
      <w:pPr>
        <w:spacing w:after="0" w:line="240" w:lineRule="auto"/>
        <w:jc w:val="both"/>
        <w:rPr>
          <w:rFonts w:ascii="Verdana" w:hAnsi="Verdana"/>
          <w:sz w:val="20"/>
          <w:szCs w:val="20"/>
        </w:rPr>
      </w:pPr>
    </w:p>
    <w:p w:rsidR="00541248" w:rsidRPr="005A3DF6" w:rsidRDefault="00983808" w:rsidP="005F474D">
      <w:pPr>
        <w:pStyle w:val="Textocomentario"/>
        <w:ind w:left="1134" w:hanging="425"/>
        <w:jc w:val="both"/>
        <w:rPr>
          <w:rFonts w:ascii="Verdana" w:hAnsi="Verdana"/>
        </w:rPr>
      </w:pPr>
      <w:r w:rsidRPr="005A3DF6">
        <w:rPr>
          <w:rFonts w:ascii="Verdana" w:hAnsi="Verdana"/>
        </w:rPr>
        <w:t xml:space="preserve">9.3 </w:t>
      </w:r>
      <w:r w:rsidRPr="005A3DF6">
        <w:rPr>
          <w:rFonts w:ascii="Verdana" w:hAnsi="Verdana"/>
        </w:rPr>
        <w:tab/>
        <w:t>Las empresas debidamente habilitadas por el Servicio Nacional de Aduanas para prestar servicios de calibración de estanques, podrán utilizar para dicho efecto</w:t>
      </w:r>
      <w:r w:rsidR="00992890" w:rsidRPr="005A3DF6">
        <w:rPr>
          <w:rFonts w:ascii="Verdana" w:hAnsi="Verdana"/>
        </w:rPr>
        <w:t xml:space="preserve"> </w:t>
      </w:r>
      <w:r w:rsidRPr="005A3DF6">
        <w:rPr>
          <w:rFonts w:ascii="Verdana" w:hAnsi="Verdana"/>
        </w:rPr>
        <w:t xml:space="preserve">el </w:t>
      </w:r>
      <w:r w:rsidR="009B3474">
        <w:rPr>
          <w:rFonts w:ascii="Verdana" w:hAnsi="Verdana"/>
        </w:rPr>
        <w:t>m</w:t>
      </w:r>
      <w:r w:rsidRPr="005A3DF6">
        <w:rPr>
          <w:rFonts w:ascii="Verdana" w:hAnsi="Verdana"/>
        </w:rPr>
        <w:t xml:space="preserve">étodo </w:t>
      </w:r>
      <w:r w:rsidR="009B3474">
        <w:rPr>
          <w:rFonts w:ascii="Verdana" w:hAnsi="Verdana"/>
        </w:rPr>
        <w:t>e</w:t>
      </w:r>
      <w:r w:rsidRPr="005A3DF6">
        <w:rPr>
          <w:rFonts w:ascii="Verdana" w:hAnsi="Verdana"/>
        </w:rPr>
        <w:t>lectro-</w:t>
      </w:r>
      <w:r w:rsidR="009B3474">
        <w:rPr>
          <w:rFonts w:ascii="Verdana" w:hAnsi="Verdana"/>
        </w:rPr>
        <w:t>ó</w:t>
      </w:r>
      <w:r w:rsidRPr="005A3DF6">
        <w:rPr>
          <w:rFonts w:ascii="Verdana" w:hAnsi="Verdana"/>
        </w:rPr>
        <w:t xml:space="preserve">ptico </w:t>
      </w:r>
      <w:r w:rsidR="009B3474">
        <w:rPr>
          <w:rFonts w:ascii="Verdana" w:hAnsi="Verdana"/>
        </w:rPr>
        <w:t>i</w:t>
      </w:r>
      <w:r w:rsidR="00541248" w:rsidRPr="005A3DF6">
        <w:rPr>
          <w:rFonts w:ascii="Verdana" w:hAnsi="Verdana"/>
        </w:rPr>
        <w:t>nterno/</w:t>
      </w:r>
      <w:r w:rsidR="009B3474">
        <w:rPr>
          <w:rFonts w:ascii="Verdana" w:hAnsi="Verdana"/>
        </w:rPr>
        <w:t>e</w:t>
      </w:r>
      <w:r w:rsidR="00541248" w:rsidRPr="005A3DF6">
        <w:rPr>
          <w:rFonts w:ascii="Verdana" w:hAnsi="Verdana"/>
        </w:rPr>
        <w:t xml:space="preserve">xterno </w:t>
      </w:r>
      <w:r w:rsidRPr="005A3DF6">
        <w:rPr>
          <w:rFonts w:ascii="Verdana" w:hAnsi="Verdana"/>
        </w:rPr>
        <w:t xml:space="preserve">de </w:t>
      </w:r>
      <w:r w:rsidR="009B3474">
        <w:rPr>
          <w:rFonts w:ascii="Verdana" w:hAnsi="Verdana"/>
        </w:rPr>
        <w:t>d</w:t>
      </w:r>
      <w:r w:rsidR="00992890" w:rsidRPr="005A3DF6">
        <w:rPr>
          <w:rFonts w:ascii="Verdana" w:hAnsi="Verdana"/>
        </w:rPr>
        <w:t xml:space="preserve">eterminación </w:t>
      </w:r>
      <w:r w:rsidRPr="005A3DF6">
        <w:rPr>
          <w:rFonts w:ascii="Verdana" w:hAnsi="Verdana"/>
        </w:rPr>
        <w:t xml:space="preserve">de </w:t>
      </w:r>
      <w:r w:rsidR="009B3474">
        <w:rPr>
          <w:rFonts w:ascii="Verdana" w:hAnsi="Verdana"/>
        </w:rPr>
        <w:t>d</w:t>
      </w:r>
      <w:r w:rsidRPr="005A3DF6">
        <w:rPr>
          <w:rFonts w:ascii="Verdana" w:hAnsi="Verdana"/>
        </w:rPr>
        <w:t xml:space="preserve">istancia, </w:t>
      </w:r>
      <w:r w:rsidR="00541248" w:rsidRPr="005A3DF6">
        <w:rPr>
          <w:rFonts w:ascii="Verdana" w:hAnsi="Verdana"/>
        </w:rPr>
        <w:t xml:space="preserve">mediante el uso de un </w:t>
      </w:r>
      <w:r w:rsidRPr="005A3DF6">
        <w:rPr>
          <w:rFonts w:ascii="Verdana" w:hAnsi="Verdana"/>
        </w:rPr>
        <w:t xml:space="preserve">instrumento de medición escáner laser 3D, </w:t>
      </w:r>
      <w:r w:rsidR="00541248" w:rsidRPr="005A3DF6">
        <w:rPr>
          <w:rFonts w:ascii="Verdana" w:hAnsi="Verdana"/>
        </w:rPr>
        <w:t xml:space="preserve">según </w:t>
      </w:r>
      <w:r w:rsidR="005F474D" w:rsidRPr="005A3DF6">
        <w:rPr>
          <w:rFonts w:ascii="Verdana" w:hAnsi="Verdana"/>
        </w:rPr>
        <w:t>API MPMS 2.2D y la norma ISO 7507</w:t>
      </w:r>
      <w:r w:rsidR="00541248" w:rsidRPr="005A3DF6">
        <w:rPr>
          <w:rFonts w:ascii="Verdana" w:hAnsi="Verdana"/>
        </w:rPr>
        <w:t>, Partes 4 y 5  (Electro-</w:t>
      </w:r>
      <w:proofErr w:type="spellStart"/>
      <w:r w:rsidR="00541248" w:rsidRPr="005A3DF6">
        <w:rPr>
          <w:rFonts w:ascii="Verdana" w:hAnsi="Verdana"/>
        </w:rPr>
        <w:t>Optical</w:t>
      </w:r>
      <w:proofErr w:type="spellEnd"/>
      <w:r w:rsidR="00541248" w:rsidRPr="005A3DF6">
        <w:rPr>
          <w:rFonts w:ascii="Verdana" w:hAnsi="Verdana"/>
        </w:rPr>
        <w:t xml:space="preserve"> </w:t>
      </w:r>
      <w:proofErr w:type="spellStart"/>
      <w:r w:rsidR="00541248" w:rsidRPr="005A3DF6">
        <w:rPr>
          <w:rFonts w:ascii="Verdana" w:hAnsi="Verdana"/>
        </w:rPr>
        <w:t>Distance</w:t>
      </w:r>
      <w:proofErr w:type="spellEnd"/>
      <w:r w:rsidR="00541248" w:rsidRPr="005A3DF6">
        <w:rPr>
          <w:rFonts w:ascii="Verdana" w:hAnsi="Verdana"/>
        </w:rPr>
        <w:t xml:space="preserve"> </w:t>
      </w:r>
      <w:proofErr w:type="spellStart"/>
      <w:r w:rsidR="00541248" w:rsidRPr="005A3DF6">
        <w:rPr>
          <w:rFonts w:ascii="Verdana" w:hAnsi="Verdana"/>
        </w:rPr>
        <w:t>Ranging</w:t>
      </w:r>
      <w:proofErr w:type="spellEnd"/>
      <w:r w:rsidR="00541248" w:rsidRPr="005A3DF6">
        <w:rPr>
          <w:rFonts w:ascii="Verdana" w:hAnsi="Verdana"/>
        </w:rPr>
        <w:t>-EODR).</w:t>
      </w:r>
    </w:p>
    <w:p w:rsidR="008F7AAC" w:rsidRPr="005A3DF6" w:rsidRDefault="008F7AAC" w:rsidP="005F474D">
      <w:pPr>
        <w:spacing w:after="0" w:line="240" w:lineRule="auto"/>
        <w:ind w:left="1134" w:hanging="425"/>
        <w:jc w:val="both"/>
        <w:rPr>
          <w:rFonts w:ascii="Verdana" w:hAnsi="Verdana"/>
          <w:sz w:val="20"/>
          <w:szCs w:val="20"/>
        </w:rPr>
      </w:pPr>
    </w:p>
    <w:p w:rsidR="00403704" w:rsidRPr="005A3DF6" w:rsidRDefault="00E107B1" w:rsidP="005F474D">
      <w:pPr>
        <w:spacing w:after="0" w:line="240" w:lineRule="auto"/>
        <w:ind w:left="1134" w:hanging="425"/>
        <w:jc w:val="both"/>
        <w:rPr>
          <w:rFonts w:ascii="Verdana" w:hAnsi="Verdana"/>
          <w:sz w:val="20"/>
          <w:szCs w:val="20"/>
        </w:rPr>
      </w:pPr>
      <w:r w:rsidRPr="005A3DF6">
        <w:rPr>
          <w:rFonts w:ascii="Verdana" w:hAnsi="Verdana"/>
          <w:sz w:val="20"/>
          <w:szCs w:val="20"/>
        </w:rPr>
        <w:t>9.4</w:t>
      </w:r>
      <w:r w:rsidRPr="005A3DF6">
        <w:rPr>
          <w:rFonts w:ascii="Verdana" w:hAnsi="Verdana"/>
          <w:sz w:val="20"/>
          <w:szCs w:val="20"/>
        </w:rPr>
        <w:tab/>
      </w:r>
      <w:r w:rsidR="008F7AAC" w:rsidRPr="005A3DF6">
        <w:rPr>
          <w:rFonts w:ascii="Verdana" w:hAnsi="Verdana"/>
          <w:sz w:val="20"/>
          <w:szCs w:val="20"/>
        </w:rPr>
        <w:t xml:space="preserve">Las Tablas de Calibración obtenidas mediante este método tendrán una validez de </w:t>
      </w:r>
      <w:r w:rsidR="00541248" w:rsidRPr="005A3DF6">
        <w:rPr>
          <w:rFonts w:ascii="Verdana" w:hAnsi="Verdana"/>
          <w:sz w:val="20"/>
          <w:szCs w:val="20"/>
        </w:rPr>
        <w:t xml:space="preserve">diez </w:t>
      </w:r>
      <w:r w:rsidR="008F7AAC" w:rsidRPr="005A3DF6">
        <w:rPr>
          <w:rFonts w:ascii="Verdana" w:hAnsi="Verdana"/>
          <w:sz w:val="20"/>
          <w:szCs w:val="20"/>
        </w:rPr>
        <w:t xml:space="preserve">años, </w:t>
      </w:r>
      <w:r w:rsidR="00403704" w:rsidRPr="005A3DF6">
        <w:rPr>
          <w:rFonts w:ascii="Verdana" w:hAnsi="Verdana"/>
          <w:sz w:val="20"/>
          <w:szCs w:val="20"/>
        </w:rPr>
        <w:t xml:space="preserve">debiendo darse cumplimiento a las dos condiciones  señaladas en el numeral 9.2 anterior. </w:t>
      </w:r>
    </w:p>
    <w:p w:rsidR="00403704" w:rsidRPr="005A3DF6" w:rsidRDefault="00403704" w:rsidP="00DC7C31">
      <w:pPr>
        <w:spacing w:after="0" w:line="240" w:lineRule="auto"/>
        <w:ind w:left="1134" w:hanging="425"/>
        <w:jc w:val="both"/>
        <w:rPr>
          <w:rFonts w:ascii="Verdana" w:hAnsi="Verdana"/>
          <w:sz w:val="20"/>
          <w:szCs w:val="20"/>
        </w:rPr>
      </w:pPr>
    </w:p>
    <w:p w:rsidR="00992890" w:rsidRPr="005A3DF6" w:rsidRDefault="00992890" w:rsidP="00DC7C31">
      <w:pPr>
        <w:spacing w:after="0" w:line="240" w:lineRule="auto"/>
        <w:ind w:left="1134" w:hanging="425"/>
        <w:jc w:val="both"/>
        <w:rPr>
          <w:rFonts w:ascii="Verdana" w:hAnsi="Verdana"/>
          <w:sz w:val="20"/>
          <w:szCs w:val="20"/>
        </w:rPr>
      </w:pPr>
    </w:p>
    <w:p w:rsidR="00983808" w:rsidRPr="005A3DF6" w:rsidRDefault="00983808" w:rsidP="00DC7C31">
      <w:pPr>
        <w:tabs>
          <w:tab w:val="left" w:pos="426"/>
        </w:tabs>
        <w:spacing w:after="0" w:line="240" w:lineRule="auto"/>
        <w:ind w:left="426" w:hanging="426"/>
        <w:jc w:val="both"/>
        <w:rPr>
          <w:rFonts w:ascii="Verdana" w:hAnsi="Verdana"/>
          <w:sz w:val="20"/>
          <w:szCs w:val="20"/>
        </w:rPr>
      </w:pPr>
      <w:r w:rsidRPr="005A3DF6">
        <w:rPr>
          <w:rFonts w:ascii="Verdana" w:hAnsi="Verdana"/>
          <w:b/>
          <w:sz w:val="20"/>
          <w:szCs w:val="20"/>
        </w:rPr>
        <w:t>II.</w:t>
      </w:r>
      <w:r w:rsidR="00992890" w:rsidRPr="005A3DF6">
        <w:rPr>
          <w:rFonts w:ascii="Verdana" w:hAnsi="Verdana"/>
          <w:sz w:val="20"/>
          <w:szCs w:val="20"/>
        </w:rPr>
        <w:t xml:space="preserve"> </w:t>
      </w:r>
      <w:r w:rsidRPr="005A3DF6">
        <w:rPr>
          <w:rFonts w:ascii="Verdana" w:hAnsi="Verdana"/>
          <w:sz w:val="20"/>
          <w:szCs w:val="20"/>
        </w:rPr>
        <w:t>Estas instrucciones comenzarán a regir a contar de la fecha de publicación en el Diario Oficial.</w:t>
      </w:r>
    </w:p>
    <w:p w:rsidR="00992890" w:rsidRDefault="00992890" w:rsidP="00DC7C31">
      <w:pPr>
        <w:spacing w:after="0" w:line="240" w:lineRule="auto"/>
        <w:ind w:left="1134" w:hanging="425"/>
        <w:jc w:val="both"/>
        <w:rPr>
          <w:rFonts w:ascii="Verdana" w:hAnsi="Verdana"/>
          <w:sz w:val="20"/>
          <w:szCs w:val="20"/>
        </w:rPr>
      </w:pPr>
    </w:p>
    <w:p w:rsidR="00992890" w:rsidRPr="00992890" w:rsidRDefault="00992890" w:rsidP="00992890">
      <w:pPr>
        <w:spacing w:after="0" w:line="240" w:lineRule="auto"/>
        <w:jc w:val="both"/>
        <w:rPr>
          <w:rFonts w:ascii="Verdana" w:hAnsi="Verdana"/>
          <w:sz w:val="20"/>
          <w:szCs w:val="20"/>
        </w:rPr>
      </w:pPr>
    </w:p>
    <w:p w:rsidR="00983808" w:rsidRPr="00992890" w:rsidRDefault="00983808" w:rsidP="00992890">
      <w:pPr>
        <w:spacing w:after="0" w:line="240" w:lineRule="auto"/>
        <w:jc w:val="both"/>
        <w:rPr>
          <w:rFonts w:ascii="Verdana" w:hAnsi="Verdana"/>
          <w:sz w:val="20"/>
          <w:szCs w:val="20"/>
        </w:rPr>
      </w:pPr>
      <w:r w:rsidRPr="00992890">
        <w:rPr>
          <w:rFonts w:ascii="Verdana" w:hAnsi="Verdana"/>
          <w:sz w:val="20"/>
          <w:szCs w:val="20"/>
        </w:rPr>
        <w:t>ANÓTESE, COMUNÍQUESE Y PUBLÍQUESE EN LA WEB DEL SERVICIO Y EN EL DIARIO OFICIAL.</w:t>
      </w:r>
    </w:p>
    <w:p w:rsidR="00A0598A" w:rsidRPr="009B3474" w:rsidRDefault="00A0598A" w:rsidP="00992890">
      <w:pPr>
        <w:spacing w:after="0" w:line="240" w:lineRule="auto"/>
        <w:jc w:val="both"/>
        <w:rPr>
          <w:rFonts w:ascii="Verdana" w:hAnsi="Verdana"/>
          <w:sz w:val="16"/>
          <w:szCs w:val="16"/>
        </w:rPr>
      </w:pPr>
    </w:p>
    <w:p w:rsidR="00A0598A" w:rsidRPr="009B3474" w:rsidRDefault="00A0598A" w:rsidP="00992890">
      <w:pPr>
        <w:spacing w:after="0" w:line="240" w:lineRule="auto"/>
        <w:jc w:val="both"/>
        <w:rPr>
          <w:rFonts w:ascii="Verdana" w:hAnsi="Verdana"/>
          <w:sz w:val="16"/>
          <w:szCs w:val="16"/>
        </w:rPr>
      </w:pPr>
    </w:p>
    <w:p w:rsidR="00983808" w:rsidRPr="00C4670F" w:rsidRDefault="00FE37E0" w:rsidP="00992890">
      <w:pPr>
        <w:spacing w:after="0" w:line="240" w:lineRule="auto"/>
        <w:jc w:val="both"/>
        <w:rPr>
          <w:rFonts w:ascii="Verdana" w:hAnsi="Verdana"/>
          <w:sz w:val="16"/>
          <w:szCs w:val="16"/>
          <w:lang w:val="en-US"/>
        </w:rPr>
      </w:pPr>
      <w:r>
        <w:rPr>
          <w:rFonts w:ascii="Verdana" w:hAnsi="Verdana"/>
          <w:sz w:val="16"/>
          <w:szCs w:val="16"/>
          <w:lang w:val="en-US"/>
        </w:rPr>
        <w:t>G</w:t>
      </w:r>
      <w:r w:rsidR="00983808" w:rsidRPr="00C4670F">
        <w:rPr>
          <w:rFonts w:ascii="Verdana" w:hAnsi="Verdana"/>
          <w:sz w:val="16"/>
          <w:szCs w:val="16"/>
          <w:lang w:val="en-US"/>
        </w:rPr>
        <w:t>LH/JUM/VSP/KCI/PSS/GMA</w:t>
      </w:r>
    </w:p>
    <w:p w:rsidR="00983808" w:rsidRDefault="00983808" w:rsidP="00992890">
      <w:pPr>
        <w:spacing w:after="0" w:line="240" w:lineRule="auto"/>
        <w:jc w:val="both"/>
        <w:rPr>
          <w:rFonts w:ascii="Verdana" w:hAnsi="Verdana"/>
          <w:sz w:val="16"/>
          <w:szCs w:val="16"/>
        </w:rPr>
      </w:pPr>
      <w:proofErr w:type="spellStart"/>
      <w:r w:rsidRPr="00992890">
        <w:rPr>
          <w:rFonts w:ascii="Verdana" w:hAnsi="Verdana"/>
          <w:sz w:val="16"/>
          <w:szCs w:val="16"/>
        </w:rPr>
        <w:t>Arc</w:t>
      </w:r>
      <w:proofErr w:type="spellEnd"/>
      <w:r w:rsidRPr="00992890">
        <w:rPr>
          <w:rFonts w:ascii="Verdana" w:hAnsi="Verdana"/>
          <w:sz w:val="16"/>
          <w:szCs w:val="16"/>
        </w:rPr>
        <w:t xml:space="preserve">: </w:t>
      </w:r>
      <w:r w:rsidR="00FE37E0">
        <w:rPr>
          <w:rFonts w:ascii="Verdana" w:hAnsi="Verdana"/>
          <w:sz w:val="16"/>
          <w:szCs w:val="16"/>
        </w:rPr>
        <w:t>Resolución ca</w:t>
      </w:r>
      <w:r w:rsidR="00C83468">
        <w:rPr>
          <w:rFonts w:ascii="Verdana" w:hAnsi="Verdana"/>
          <w:sz w:val="16"/>
          <w:szCs w:val="16"/>
        </w:rPr>
        <w:t xml:space="preserve">libración </w:t>
      </w:r>
      <w:r w:rsidR="00FE37E0">
        <w:rPr>
          <w:rFonts w:ascii="Verdana" w:hAnsi="Verdana"/>
          <w:sz w:val="16"/>
          <w:szCs w:val="16"/>
        </w:rPr>
        <w:t>3D estanques</w:t>
      </w:r>
    </w:p>
    <w:p w:rsidR="00FE37E0" w:rsidRDefault="00FE37E0" w:rsidP="00992890">
      <w:pPr>
        <w:spacing w:after="0" w:line="240" w:lineRule="auto"/>
        <w:jc w:val="both"/>
        <w:rPr>
          <w:rFonts w:ascii="Verdana" w:hAnsi="Verdana"/>
          <w:sz w:val="16"/>
          <w:szCs w:val="16"/>
        </w:rPr>
      </w:pPr>
      <w:r>
        <w:rPr>
          <w:rFonts w:ascii="Verdana" w:hAnsi="Verdana"/>
          <w:sz w:val="16"/>
          <w:szCs w:val="16"/>
        </w:rPr>
        <w:t>DISTRIBUCION</w:t>
      </w:r>
    </w:p>
    <w:p w:rsidR="00983808" w:rsidRPr="00992890" w:rsidRDefault="00A0598A" w:rsidP="00992890">
      <w:pPr>
        <w:spacing w:after="0" w:line="240" w:lineRule="auto"/>
        <w:jc w:val="both"/>
        <w:rPr>
          <w:rFonts w:ascii="Verdana" w:hAnsi="Verdana"/>
          <w:sz w:val="16"/>
          <w:szCs w:val="16"/>
        </w:rPr>
      </w:pPr>
      <w:r>
        <w:rPr>
          <w:rFonts w:ascii="Verdana" w:hAnsi="Verdana"/>
          <w:sz w:val="16"/>
          <w:szCs w:val="16"/>
        </w:rPr>
        <w:t>A</w:t>
      </w:r>
      <w:r w:rsidRPr="00992890">
        <w:rPr>
          <w:rFonts w:ascii="Verdana" w:hAnsi="Verdana"/>
          <w:sz w:val="16"/>
          <w:szCs w:val="16"/>
        </w:rPr>
        <w:t xml:space="preserve">duanas </w:t>
      </w:r>
      <w:r>
        <w:rPr>
          <w:rFonts w:ascii="Verdana" w:hAnsi="Verdana"/>
          <w:sz w:val="16"/>
          <w:szCs w:val="16"/>
        </w:rPr>
        <w:t>A</w:t>
      </w:r>
      <w:r w:rsidRPr="00992890">
        <w:rPr>
          <w:rFonts w:ascii="Verdana" w:hAnsi="Verdana"/>
          <w:sz w:val="16"/>
          <w:szCs w:val="16"/>
        </w:rPr>
        <w:t>rica/</w:t>
      </w:r>
      <w:r>
        <w:rPr>
          <w:rFonts w:ascii="Verdana" w:hAnsi="Verdana"/>
          <w:sz w:val="16"/>
          <w:szCs w:val="16"/>
        </w:rPr>
        <w:t>Punta A</w:t>
      </w:r>
      <w:r w:rsidRPr="00992890">
        <w:rPr>
          <w:rFonts w:ascii="Verdana" w:hAnsi="Verdana"/>
          <w:sz w:val="16"/>
          <w:szCs w:val="16"/>
        </w:rPr>
        <w:t>renas</w:t>
      </w:r>
    </w:p>
    <w:p w:rsidR="00983808" w:rsidRPr="00992890" w:rsidRDefault="00A0598A" w:rsidP="00992890">
      <w:pPr>
        <w:spacing w:after="0" w:line="240" w:lineRule="auto"/>
        <w:jc w:val="both"/>
        <w:rPr>
          <w:rFonts w:ascii="Verdana" w:hAnsi="Verdana"/>
          <w:sz w:val="16"/>
          <w:szCs w:val="16"/>
        </w:rPr>
      </w:pPr>
      <w:r>
        <w:rPr>
          <w:rFonts w:ascii="Verdana" w:hAnsi="Verdana"/>
          <w:sz w:val="16"/>
          <w:szCs w:val="16"/>
        </w:rPr>
        <w:t>Subdirecciones y Departamentos DNA</w:t>
      </w:r>
    </w:p>
    <w:p w:rsidR="00FC6F7C" w:rsidRDefault="00A0598A" w:rsidP="00992890">
      <w:pPr>
        <w:spacing w:after="0" w:line="240" w:lineRule="auto"/>
        <w:jc w:val="both"/>
        <w:rPr>
          <w:rFonts w:ascii="Verdana" w:hAnsi="Verdana"/>
          <w:sz w:val="16"/>
          <w:szCs w:val="16"/>
        </w:rPr>
      </w:pPr>
      <w:r>
        <w:rPr>
          <w:rFonts w:ascii="Verdana" w:hAnsi="Verdana"/>
          <w:sz w:val="16"/>
          <w:szCs w:val="16"/>
        </w:rPr>
        <w:lastRenderedPageBreak/>
        <w:t>Cá</w:t>
      </w:r>
      <w:r w:rsidRPr="00992890">
        <w:rPr>
          <w:rFonts w:ascii="Verdana" w:hAnsi="Verdana"/>
          <w:sz w:val="16"/>
          <w:szCs w:val="16"/>
        </w:rPr>
        <w:t xml:space="preserve">mara </w:t>
      </w:r>
      <w:r>
        <w:rPr>
          <w:rFonts w:ascii="Verdana" w:hAnsi="Verdana"/>
          <w:sz w:val="16"/>
          <w:szCs w:val="16"/>
        </w:rPr>
        <w:t>A</w:t>
      </w:r>
      <w:r w:rsidRPr="00992890">
        <w:rPr>
          <w:rFonts w:ascii="Verdana" w:hAnsi="Verdana"/>
          <w:sz w:val="16"/>
          <w:szCs w:val="16"/>
        </w:rPr>
        <w:t xml:space="preserve">duanera de </w:t>
      </w:r>
      <w:r>
        <w:rPr>
          <w:rFonts w:ascii="Verdana" w:hAnsi="Verdana"/>
          <w:sz w:val="16"/>
          <w:szCs w:val="16"/>
        </w:rPr>
        <w:t>C</w:t>
      </w:r>
      <w:r w:rsidRPr="00992890">
        <w:rPr>
          <w:rFonts w:ascii="Verdana" w:hAnsi="Verdana"/>
          <w:sz w:val="16"/>
          <w:szCs w:val="16"/>
        </w:rPr>
        <w:t xml:space="preserve">hile </w:t>
      </w:r>
      <w:r>
        <w:rPr>
          <w:rFonts w:ascii="Verdana" w:hAnsi="Verdana"/>
          <w:sz w:val="16"/>
          <w:szCs w:val="16"/>
        </w:rPr>
        <w:t xml:space="preserve">A.G.; ANAGENA </w:t>
      </w:r>
      <w:proofErr w:type="gramStart"/>
      <w:r>
        <w:rPr>
          <w:rFonts w:ascii="Verdana" w:hAnsi="Verdana"/>
          <w:sz w:val="16"/>
          <w:szCs w:val="16"/>
        </w:rPr>
        <w:t>A.G..</w:t>
      </w:r>
      <w:proofErr w:type="gramEnd"/>
    </w:p>
    <w:sectPr w:rsidR="00FC6F7C" w:rsidSect="0019754C">
      <w:headerReference w:type="even" r:id="rId9"/>
      <w:headerReference w:type="default" r:id="rId10"/>
      <w:footerReference w:type="even" r:id="rId11"/>
      <w:footerReference w:type="default" r:id="rId12"/>
      <w:headerReference w:type="first" r:id="rId13"/>
      <w:footerReference w:type="first" r:id="rId14"/>
      <w:pgSz w:w="12242" w:h="18722" w:code="134"/>
      <w:pgMar w:top="1417" w:right="1701" w:bottom="1417" w:left="1701" w:header="1418" w:footer="709" w:gutter="0"/>
      <w:paperSrc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C7" w:rsidRDefault="004C66C7" w:rsidP="004C66C7">
      <w:pPr>
        <w:spacing w:after="0" w:line="240" w:lineRule="auto"/>
      </w:pPr>
      <w:r>
        <w:separator/>
      </w:r>
    </w:p>
  </w:endnote>
  <w:endnote w:type="continuationSeparator" w:id="0">
    <w:p w:rsidR="004C66C7" w:rsidRDefault="004C66C7" w:rsidP="004C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C7" w:rsidRDefault="004C66C7" w:rsidP="004C66C7">
      <w:pPr>
        <w:spacing w:after="0" w:line="240" w:lineRule="auto"/>
      </w:pPr>
      <w:r>
        <w:separator/>
      </w:r>
    </w:p>
  </w:footnote>
  <w:footnote w:type="continuationSeparator" w:id="0">
    <w:p w:rsidR="004C66C7" w:rsidRDefault="004C66C7" w:rsidP="004C6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691062"/>
      <w:docPartObj>
        <w:docPartGallery w:val="Watermarks"/>
        <w:docPartUnique/>
      </w:docPartObj>
    </w:sdtPr>
    <w:sdtEndPr/>
    <w:sdtContent>
      <w:p w:rsidR="004C66C7" w:rsidRDefault="0057433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C7" w:rsidRDefault="004C66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03D3"/>
    <w:multiLevelType w:val="hybridMultilevel"/>
    <w:tmpl w:val="1812C156"/>
    <w:lvl w:ilvl="0" w:tplc="B9883AEE">
      <w:start w:val="1"/>
      <w:numFmt w:val="decimal"/>
      <w:lvlText w:val="%1."/>
      <w:lvlJc w:val="left"/>
      <w:pPr>
        <w:ind w:left="435" w:hanging="360"/>
      </w:pPr>
      <w:rPr>
        <w:rFonts w:hint="default"/>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1">
    <w:nsid w:val="3F4C7FDF"/>
    <w:multiLevelType w:val="hybridMultilevel"/>
    <w:tmpl w:val="6B5642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08"/>
    <w:rsid w:val="00004E79"/>
    <w:rsid w:val="00011EA4"/>
    <w:rsid w:val="0019754C"/>
    <w:rsid w:val="00403704"/>
    <w:rsid w:val="0045683E"/>
    <w:rsid w:val="004C66C7"/>
    <w:rsid w:val="00541248"/>
    <w:rsid w:val="00574331"/>
    <w:rsid w:val="005A3DF6"/>
    <w:rsid w:val="005F474D"/>
    <w:rsid w:val="00647FB0"/>
    <w:rsid w:val="008F7AAC"/>
    <w:rsid w:val="00983808"/>
    <w:rsid w:val="00992890"/>
    <w:rsid w:val="009B3474"/>
    <w:rsid w:val="00A0598A"/>
    <w:rsid w:val="00A76571"/>
    <w:rsid w:val="00A869B7"/>
    <w:rsid w:val="00B34E17"/>
    <w:rsid w:val="00B36F33"/>
    <w:rsid w:val="00C4670F"/>
    <w:rsid w:val="00C83468"/>
    <w:rsid w:val="00D62B53"/>
    <w:rsid w:val="00DC7C31"/>
    <w:rsid w:val="00DE3117"/>
    <w:rsid w:val="00E107B1"/>
    <w:rsid w:val="00F81036"/>
    <w:rsid w:val="00FA5164"/>
    <w:rsid w:val="00FC6F7C"/>
    <w:rsid w:val="00FE37E0"/>
    <w:rsid w:val="00FF68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037DDB8-B915-4BCB-A25D-DB36D7E7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7A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AAC"/>
    <w:rPr>
      <w:rFonts w:ascii="Tahoma" w:hAnsi="Tahoma" w:cs="Tahoma"/>
      <w:sz w:val="16"/>
      <w:szCs w:val="16"/>
    </w:rPr>
  </w:style>
  <w:style w:type="paragraph" w:styleId="Prrafodelista">
    <w:name w:val="List Paragraph"/>
    <w:basedOn w:val="Normal"/>
    <w:uiPriority w:val="34"/>
    <w:qFormat/>
    <w:rsid w:val="00992890"/>
    <w:pPr>
      <w:ind w:left="720"/>
      <w:contextualSpacing/>
    </w:pPr>
  </w:style>
  <w:style w:type="character" w:styleId="nfasissutil">
    <w:name w:val="Subtle Emphasis"/>
    <w:basedOn w:val="Fuentedeprrafopredeter"/>
    <w:uiPriority w:val="19"/>
    <w:qFormat/>
    <w:rsid w:val="005F474D"/>
    <w:rPr>
      <w:i/>
      <w:iCs/>
      <w:color w:val="404040" w:themeColor="text1" w:themeTint="BF"/>
    </w:rPr>
  </w:style>
  <w:style w:type="paragraph" w:styleId="Textocomentario">
    <w:name w:val="annotation text"/>
    <w:basedOn w:val="Normal"/>
    <w:link w:val="TextocomentarioCar"/>
    <w:uiPriority w:val="99"/>
    <w:unhideWhenUsed/>
    <w:rsid w:val="005F474D"/>
    <w:pPr>
      <w:spacing w:line="240" w:lineRule="auto"/>
    </w:pPr>
    <w:rPr>
      <w:sz w:val="20"/>
      <w:szCs w:val="20"/>
    </w:rPr>
  </w:style>
  <w:style w:type="character" w:customStyle="1" w:styleId="TextocomentarioCar">
    <w:name w:val="Texto comentario Car"/>
    <w:basedOn w:val="Fuentedeprrafopredeter"/>
    <w:link w:val="Textocomentario"/>
    <w:uiPriority w:val="99"/>
    <w:rsid w:val="005F474D"/>
    <w:rPr>
      <w:sz w:val="20"/>
      <w:szCs w:val="20"/>
    </w:rPr>
  </w:style>
  <w:style w:type="paragraph" w:styleId="Encabezado">
    <w:name w:val="header"/>
    <w:basedOn w:val="Normal"/>
    <w:link w:val="EncabezadoCar"/>
    <w:uiPriority w:val="99"/>
    <w:unhideWhenUsed/>
    <w:rsid w:val="004C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66C7"/>
  </w:style>
  <w:style w:type="paragraph" w:styleId="Piedepgina">
    <w:name w:val="footer"/>
    <w:basedOn w:val="Normal"/>
    <w:link w:val="PiedepginaCar"/>
    <w:uiPriority w:val="99"/>
    <w:unhideWhenUsed/>
    <w:rsid w:val="004C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07985">
      <w:bodyDiv w:val="1"/>
      <w:marLeft w:val="0"/>
      <w:marRight w:val="0"/>
      <w:marTop w:val="0"/>
      <w:marBottom w:val="0"/>
      <w:divBdr>
        <w:top w:val="none" w:sz="0" w:space="0" w:color="auto"/>
        <w:left w:val="none" w:sz="0" w:space="0" w:color="auto"/>
        <w:bottom w:val="none" w:sz="0" w:space="0" w:color="auto"/>
        <w:right w:val="none" w:sz="0" w:space="0" w:color="auto"/>
      </w:divBdr>
    </w:div>
    <w:div w:id="19030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802D-FC5C-4E95-92C5-271428B2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Castillo Iturriaga</dc:creator>
  <cp:lastModifiedBy>Leticia Baquedano Duran</cp:lastModifiedBy>
  <cp:revision>2</cp:revision>
  <cp:lastPrinted>2017-10-25T13:06:00Z</cp:lastPrinted>
  <dcterms:created xsi:type="dcterms:W3CDTF">2019-04-17T21:58:00Z</dcterms:created>
  <dcterms:modified xsi:type="dcterms:W3CDTF">2019-04-17T21:58:00Z</dcterms:modified>
</cp:coreProperties>
</file>