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07673" w14:textId="77777777" w:rsidR="005362F6" w:rsidRPr="00C51B2E" w:rsidRDefault="00D732B0" w:rsidP="005362F6">
      <w:pPr>
        <w:jc w:val="both"/>
        <w:rPr>
          <w:rFonts w:ascii="Verdana" w:hAnsi="Verdana" w:cs="Calibri"/>
          <w:b/>
          <w:sz w:val="22"/>
          <w:szCs w:val="22"/>
          <w:lang w:val="es-ES"/>
        </w:rPr>
      </w:pPr>
      <w:bookmarkStart w:id="0" w:name="_GoBack"/>
      <w:bookmarkEnd w:id="0"/>
      <w:r>
        <w:rPr>
          <w:rFonts w:ascii="Calibri" w:hAnsi="Calibri" w:cs="Calibri"/>
          <w:sz w:val="20"/>
        </w:rPr>
        <w:softHyphen/>
      </w:r>
      <w:r w:rsidR="005362F6" w:rsidRPr="005362F6">
        <w:rPr>
          <w:rFonts w:ascii="Verdana" w:hAnsi="Verdana" w:cs="Calibri"/>
          <w:b/>
          <w:sz w:val="22"/>
          <w:szCs w:val="22"/>
          <w:lang w:val="es-ES"/>
        </w:rPr>
        <w:t xml:space="preserve"> </w:t>
      </w:r>
    </w:p>
    <w:p w14:paraId="630CED8C" w14:textId="77777777" w:rsidR="005362F6" w:rsidRPr="00C51B2E" w:rsidRDefault="005362F6" w:rsidP="005362F6">
      <w:pPr>
        <w:ind w:firstLine="3402"/>
        <w:jc w:val="both"/>
        <w:rPr>
          <w:rFonts w:ascii="Verdana" w:hAnsi="Verdana"/>
          <w:b/>
          <w:caps/>
          <w:sz w:val="22"/>
          <w:szCs w:val="22"/>
          <w:lang w:val="es-ES"/>
        </w:rPr>
      </w:pPr>
      <w:r w:rsidRPr="00C51B2E">
        <w:rPr>
          <w:rFonts w:ascii="Verdana" w:hAnsi="Verdana"/>
          <w:b/>
          <w:caps/>
          <w:sz w:val="22"/>
          <w:szCs w:val="22"/>
          <w:lang w:val="es-ES"/>
        </w:rPr>
        <w:t xml:space="preserve">Resolución Exenta N° </w:t>
      </w:r>
    </w:p>
    <w:p w14:paraId="0201F08D" w14:textId="77777777" w:rsidR="005362F6" w:rsidRPr="005A4504" w:rsidRDefault="005362F6" w:rsidP="005362F6">
      <w:pPr>
        <w:ind w:left="4248"/>
        <w:jc w:val="both"/>
        <w:rPr>
          <w:rFonts w:ascii="Verdana" w:hAnsi="Verdana" w:cs="Calibri"/>
          <w:b/>
          <w:sz w:val="22"/>
          <w:szCs w:val="22"/>
        </w:rPr>
      </w:pPr>
    </w:p>
    <w:p w14:paraId="1F75F8CA" w14:textId="77777777" w:rsidR="005362F6" w:rsidRPr="00C06080" w:rsidRDefault="005362F6" w:rsidP="005362F6">
      <w:pPr>
        <w:ind w:firstLine="3402"/>
        <w:jc w:val="both"/>
        <w:rPr>
          <w:rFonts w:ascii="Verdana" w:hAnsi="Verdana"/>
          <w:b/>
          <w:caps/>
          <w:sz w:val="22"/>
          <w:szCs w:val="22"/>
          <w:lang w:val="es-ES"/>
        </w:rPr>
      </w:pPr>
      <w:r w:rsidRPr="001939D6">
        <w:rPr>
          <w:rFonts w:ascii="Verdana" w:hAnsi="Verdana" w:cs="Calibri"/>
          <w:b/>
          <w:sz w:val="22"/>
          <w:szCs w:val="22"/>
        </w:rPr>
        <w:t>Valparaíso,</w:t>
      </w:r>
    </w:p>
    <w:p w14:paraId="0BD60D45" w14:textId="77777777" w:rsidR="005362F6" w:rsidRPr="00FD22A5" w:rsidRDefault="005362F6" w:rsidP="005362F6">
      <w:pPr>
        <w:jc w:val="both"/>
        <w:rPr>
          <w:rFonts w:ascii="Verdana" w:hAnsi="Verdana" w:cs="Calibri"/>
          <w:sz w:val="22"/>
          <w:szCs w:val="22"/>
        </w:rPr>
      </w:pPr>
    </w:p>
    <w:p w14:paraId="2DC7B6CE" w14:textId="77777777" w:rsidR="005362F6" w:rsidRPr="001E4EF2" w:rsidRDefault="005362F6" w:rsidP="005362F6">
      <w:pPr>
        <w:ind w:firstLine="3402"/>
        <w:jc w:val="both"/>
        <w:rPr>
          <w:rFonts w:ascii="Verdana" w:hAnsi="Verdana" w:cs="Calibri"/>
          <w:b/>
          <w:sz w:val="22"/>
          <w:szCs w:val="22"/>
        </w:rPr>
      </w:pPr>
      <w:r w:rsidRPr="001E4EF2">
        <w:rPr>
          <w:rFonts w:ascii="Verdana" w:hAnsi="Verdana" w:cs="Calibri"/>
          <w:b/>
          <w:sz w:val="22"/>
          <w:szCs w:val="22"/>
        </w:rPr>
        <w:t>VISTOS:</w:t>
      </w:r>
    </w:p>
    <w:p w14:paraId="61BCD327" w14:textId="77777777" w:rsidR="005362F6" w:rsidRDefault="005362F6" w:rsidP="005362F6">
      <w:pPr>
        <w:jc w:val="both"/>
        <w:rPr>
          <w:rFonts w:ascii="Verdana" w:hAnsi="Verdana" w:cs="Calibri"/>
          <w:sz w:val="22"/>
          <w:szCs w:val="22"/>
        </w:rPr>
      </w:pPr>
    </w:p>
    <w:p w14:paraId="23FD629A" w14:textId="77777777" w:rsidR="005362F6" w:rsidRPr="00C51B2E" w:rsidRDefault="005362F6" w:rsidP="005362F6">
      <w:pPr>
        <w:jc w:val="both"/>
        <w:rPr>
          <w:rFonts w:ascii="Verdana" w:hAnsi="Verdana" w:cs="Calibri"/>
          <w:sz w:val="22"/>
          <w:szCs w:val="22"/>
        </w:rPr>
      </w:pPr>
    </w:p>
    <w:p w14:paraId="4ABC62D8" w14:textId="2FCF247E" w:rsidR="005362F6" w:rsidRPr="00C51B2E" w:rsidRDefault="005362F6" w:rsidP="005362F6">
      <w:pPr>
        <w:ind w:firstLine="3402"/>
        <w:jc w:val="both"/>
        <w:rPr>
          <w:rFonts w:ascii="Verdana" w:hAnsi="Verdana" w:cs="Calibri"/>
          <w:sz w:val="22"/>
          <w:szCs w:val="22"/>
        </w:rPr>
      </w:pPr>
      <w:r w:rsidRPr="00C51B2E">
        <w:rPr>
          <w:rFonts w:ascii="Verdana" w:hAnsi="Verdana" w:cs="Calibri"/>
          <w:sz w:val="22"/>
          <w:szCs w:val="22"/>
        </w:rPr>
        <w:t xml:space="preserve">El artículo 4 </w:t>
      </w:r>
      <w:r w:rsidR="00453CC3">
        <w:rPr>
          <w:rFonts w:ascii="Verdana" w:hAnsi="Verdana" w:cs="Calibri"/>
          <w:sz w:val="22"/>
          <w:szCs w:val="22"/>
        </w:rPr>
        <w:t xml:space="preserve">de la Ley </w:t>
      </w:r>
      <w:r w:rsidRPr="00C51B2E">
        <w:rPr>
          <w:rFonts w:ascii="Verdana" w:hAnsi="Verdana" w:cs="Calibri"/>
          <w:sz w:val="22"/>
          <w:szCs w:val="22"/>
        </w:rPr>
        <w:t>N°</w:t>
      </w:r>
      <w:r w:rsidR="00453CC3">
        <w:rPr>
          <w:rFonts w:ascii="Verdana" w:hAnsi="Verdana" w:cs="Calibri"/>
          <w:sz w:val="22"/>
          <w:szCs w:val="22"/>
        </w:rPr>
        <w:t xml:space="preserve"> 19.913 y el artículo 38 de la Ordenanza de Aduanas</w:t>
      </w:r>
      <w:r w:rsidRPr="00C51B2E">
        <w:rPr>
          <w:rFonts w:ascii="Verdana" w:hAnsi="Verdana" w:cs="Calibri"/>
          <w:sz w:val="22"/>
          <w:szCs w:val="22"/>
        </w:rPr>
        <w:t>.</w:t>
      </w:r>
    </w:p>
    <w:p w14:paraId="3828DB73" w14:textId="77777777" w:rsidR="005362F6" w:rsidRPr="00C51B2E" w:rsidRDefault="005362F6" w:rsidP="005362F6">
      <w:pPr>
        <w:jc w:val="both"/>
        <w:rPr>
          <w:rFonts w:ascii="Verdana" w:hAnsi="Verdana" w:cs="Calibri"/>
          <w:sz w:val="22"/>
          <w:szCs w:val="22"/>
        </w:rPr>
      </w:pPr>
    </w:p>
    <w:p w14:paraId="1277A299" w14:textId="77777777" w:rsidR="005362F6" w:rsidRDefault="005362F6" w:rsidP="005362F6">
      <w:pPr>
        <w:ind w:firstLine="3402"/>
        <w:jc w:val="both"/>
        <w:rPr>
          <w:rFonts w:ascii="Verdana" w:hAnsi="Verdana" w:cs="Calibri"/>
          <w:bCs/>
          <w:sz w:val="22"/>
          <w:szCs w:val="22"/>
          <w:lang w:val="es-ES"/>
        </w:rPr>
      </w:pPr>
      <w:r>
        <w:rPr>
          <w:rFonts w:ascii="Verdana" w:hAnsi="Verdana" w:cs="Calibri"/>
          <w:bCs/>
          <w:sz w:val="22"/>
          <w:szCs w:val="22"/>
          <w:lang w:val="es-ES"/>
        </w:rPr>
        <w:t>La Resolución N° 3</w:t>
      </w:r>
      <w:r w:rsidR="00453CC3">
        <w:rPr>
          <w:rFonts w:ascii="Verdana" w:hAnsi="Verdana" w:cs="Calibri"/>
          <w:bCs/>
          <w:sz w:val="22"/>
          <w:szCs w:val="22"/>
          <w:lang w:val="es-ES"/>
        </w:rPr>
        <w:t>9</w:t>
      </w:r>
      <w:r>
        <w:rPr>
          <w:rFonts w:ascii="Verdana" w:hAnsi="Verdana" w:cs="Calibri"/>
          <w:bCs/>
          <w:sz w:val="22"/>
          <w:szCs w:val="22"/>
          <w:lang w:val="es-ES"/>
        </w:rPr>
        <w:t xml:space="preserve"> de </w:t>
      </w:r>
      <w:r w:rsidR="00453CC3">
        <w:rPr>
          <w:rFonts w:ascii="Verdana" w:hAnsi="Verdana" w:cs="Calibri"/>
          <w:bCs/>
          <w:sz w:val="22"/>
          <w:szCs w:val="22"/>
          <w:lang w:val="es-ES"/>
        </w:rPr>
        <w:t>04.01.2005</w:t>
      </w:r>
      <w:r>
        <w:rPr>
          <w:rFonts w:ascii="Verdana" w:hAnsi="Verdana" w:cs="Calibri"/>
          <w:bCs/>
          <w:sz w:val="22"/>
          <w:szCs w:val="22"/>
          <w:lang w:val="es-ES"/>
        </w:rPr>
        <w:t xml:space="preserve">, del Director Nacional de Aduanas </w:t>
      </w:r>
      <w:r w:rsidR="00453CC3">
        <w:rPr>
          <w:rFonts w:ascii="Verdana" w:hAnsi="Verdana" w:cs="Calibri"/>
          <w:bCs/>
          <w:sz w:val="22"/>
          <w:szCs w:val="22"/>
          <w:lang w:val="es-ES"/>
        </w:rPr>
        <w:t xml:space="preserve">mediante </w:t>
      </w:r>
      <w:r>
        <w:rPr>
          <w:rFonts w:ascii="Verdana" w:hAnsi="Verdana" w:cs="Calibri"/>
          <w:bCs/>
          <w:sz w:val="22"/>
          <w:szCs w:val="22"/>
          <w:lang w:val="es-ES"/>
        </w:rPr>
        <w:t xml:space="preserve">la cual se </w:t>
      </w:r>
      <w:r w:rsidR="00453CC3">
        <w:rPr>
          <w:rFonts w:ascii="Verdana" w:hAnsi="Verdana" w:cs="Calibri"/>
          <w:bCs/>
          <w:sz w:val="22"/>
          <w:szCs w:val="22"/>
          <w:lang w:val="es-ES"/>
        </w:rPr>
        <w:t>aprueba el formulario de la Declaración Jurada conjunta Aduana-SAG sobre el porte de mercancías, dinero, documentos negociables y productos que allí se expresan</w:t>
      </w:r>
      <w:r w:rsidRPr="008F73E7">
        <w:rPr>
          <w:rFonts w:ascii="Verdana" w:hAnsi="Verdana" w:cs="Calibri"/>
          <w:bCs/>
          <w:sz w:val="22"/>
          <w:szCs w:val="22"/>
          <w:lang w:val="es-ES"/>
        </w:rPr>
        <w:t>.</w:t>
      </w:r>
    </w:p>
    <w:p w14:paraId="12A57691" w14:textId="77777777" w:rsidR="005362F6" w:rsidRDefault="005362F6" w:rsidP="005362F6">
      <w:pPr>
        <w:jc w:val="both"/>
        <w:rPr>
          <w:rFonts w:ascii="Verdana" w:hAnsi="Verdana" w:cs="Calibri"/>
          <w:bCs/>
          <w:sz w:val="22"/>
          <w:szCs w:val="22"/>
          <w:lang w:val="es-ES"/>
        </w:rPr>
      </w:pPr>
    </w:p>
    <w:p w14:paraId="70C247E1" w14:textId="77777777" w:rsidR="005362F6" w:rsidRDefault="005362F6" w:rsidP="005362F6">
      <w:pPr>
        <w:jc w:val="both"/>
        <w:rPr>
          <w:rFonts w:ascii="Verdana" w:hAnsi="Verdana" w:cs="Calibri"/>
          <w:bCs/>
          <w:sz w:val="22"/>
          <w:szCs w:val="22"/>
          <w:lang w:val="es-ES"/>
        </w:rPr>
      </w:pPr>
    </w:p>
    <w:p w14:paraId="684C6D36" w14:textId="77777777" w:rsidR="005362F6" w:rsidRDefault="005362F6" w:rsidP="005362F6">
      <w:pPr>
        <w:ind w:firstLine="3402"/>
        <w:jc w:val="both"/>
        <w:rPr>
          <w:rFonts w:ascii="Verdana" w:hAnsi="Verdana" w:cs="Calibri"/>
          <w:b/>
          <w:bCs/>
          <w:sz w:val="22"/>
          <w:szCs w:val="22"/>
          <w:lang w:val="es-ES"/>
        </w:rPr>
      </w:pPr>
      <w:r w:rsidRPr="009934CF">
        <w:rPr>
          <w:rFonts w:ascii="Verdana" w:hAnsi="Verdana" w:cs="Calibri"/>
          <w:b/>
          <w:bCs/>
          <w:sz w:val="22"/>
          <w:szCs w:val="22"/>
          <w:lang w:val="es-ES"/>
        </w:rPr>
        <w:t>CONSIDERANDO:</w:t>
      </w:r>
    </w:p>
    <w:p w14:paraId="57068ECD" w14:textId="77777777" w:rsidR="005362F6" w:rsidRPr="009934CF" w:rsidRDefault="005362F6" w:rsidP="005362F6">
      <w:pPr>
        <w:ind w:firstLine="3402"/>
        <w:jc w:val="both"/>
        <w:rPr>
          <w:rFonts w:ascii="Verdana" w:hAnsi="Verdana" w:cs="Calibri"/>
          <w:b/>
          <w:bCs/>
          <w:sz w:val="22"/>
          <w:szCs w:val="22"/>
          <w:lang w:val="es-ES"/>
        </w:rPr>
      </w:pPr>
    </w:p>
    <w:p w14:paraId="31A134AD" w14:textId="77777777" w:rsidR="005362F6" w:rsidRDefault="005362F6" w:rsidP="005362F6">
      <w:pPr>
        <w:jc w:val="both"/>
        <w:rPr>
          <w:rFonts w:ascii="Verdana" w:hAnsi="Verdana" w:cs="Calibri"/>
          <w:bCs/>
          <w:sz w:val="22"/>
          <w:szCs w:val="22"/>
          <w:lang w:val="es-ES"/>
        </w:rPr>
      </w:pPr>
    </w:p>
    <w:p w14:paraId="106EA166" w14:textId="77777777" w:rsidR="005362F6" w:rsidRPr="0074526F" w:rsidRDefault="005362F6" w:rsidP="005362F6">
      <w:pPr>
        <w:ind w:firstLine="3402"/>
        <w:jc w:val="both"/>
        <w:rPr>
          <w:rFonts w:ascii="Verdana" w:hAnsi="Verdana" w:cs="Calibri"/>
          <w:bCs/>
          <w:sz w:val="22"/>
          <w:szCs w:val="22"/>
          <w:lang w:val="es-ES"/>
        </w:rPr>
      </w:pPr>
      <w:r w:rsidRPr="009934CF">
        <w:rPr>
          <w:rFonts w:ascii="Verdana" w:hAnsi="Verdana" w:cs="Calibri"/>
          <w:bCs/>
          <w:sz w:val="22"/>
          <w:szCs w:val="22"/>
          <w:lang w:val="es-ES"/>
        </w:rPr>
        <w:t>Que,</w:t>
      </w:r>
      <w:r>
        <w:rPr>
          <w:rFonts w:ascii="Verdana" w:hAnsi="Verdana" w:cs="Calibri"/>
          <w:bCs/>
          <w:sz w:val="22"/>
          <w:szCs w:val="22"/>
          <w:lang w:val="es-ES"/>
        </w:rPr>
        <w:t xml:space="preserve"> </w:t>
      </w:r>
      <w:r w:rsidR="00453CC3">
        <w:rPr>
          <w:rFonts w:ascii="Verdana" w:hAnsi="Verdana" w:cs="Calibri"/>
          <w:bCs/>
          <w:sz w:val="22"/>
          <w:szCs w:val="22"/>
          <w:lang w:val="es-ES"/>
        </w:rPr>
        <w:t xml:space="preserve">de conformidad al artículo 1 de la Ordenanza de Aduanas, al Servicio Nacional de Aduanas le </w:t>
      </w:r>
      <w:r w:rsidR="0044483B">
        <w:rPr>
          <w:rFonts w:ascii="Verdana" w:hAnsi="Verdana" w:cs="Calibri"/>
          <w:bCs/>
          <w:sz w:val="22"/>
          <w:szCs w:val="22"/>
          <w:lang w:val="es-ES"/>
        </w:rPr>
        <w:t>corresponde</w:t>
      </w:r>
      <w:r w:rsidR="00453CC3">
        <w:rPr>
          <w:rFonts w:ascii="Verdana" w:hAnsi="Verdana" w:cs="Calibri"/>
          <w:bCs/>
          <w:sz w:val="22"/>
          <w:szCs w:val="22"/>
          <w:lang w:val="es-ES"/>
        </w:rPr>
        <w:t xml:space="preserve"> vigilar y </w:t>
      </w:r>
      <w:r w:rsidR="0044483B">
        <w:rPr>
          <w:rFonts w:ascii="Verdana" w:hAnsi="Verdana" w:cs="Calibri"/>
          <w:bCs/>
          <w:sz w:val="22"/>
          <w:szCs w:val="22"/>
          <w:lang w:val="es-ES"/>
        </w:rPr>
        <w:t>fiscalizar</w:t>
      </w:r>
      <w:r w:rsidR="00453CC3">
        <w:rPr>
          <w:rFonts w:ascii="Verdana" w:hAnsi="Verdana" w:cs="Calibri"/>
          <w:bCs/>
          <w:sz w:val="22"/>
          <w:szCs w:val="22"/>
          <w:lang w:val="es-ES"/>
        </w:rPr>
        <w:t xml:space="preserve"> el paso de mercancías por las costas, fronteras y aeropuertos de la República, intervenir en el tráfico internacional para los efectos de la recaudación de los impuestos a la importación, expor</w:t>
      </w:r>
      <w:r w:rsidR="0044483B">
        <w:rPr>
          <w:rFonts w:ascii="Verdana" w:hAnsi="Verdana" w:cs="Calibri"/>
          <w:bCs/>
          <w:sz w:val="22"/>
          <w:szCs w:val="22"/>
          <w:lang w:val="es-ES"/>
        </w:rPr>
        <w:t>tación y otros que determinen las leyes, y de generar las estadísticas de ese tráfico por las fronteras, sin perjuicio de las demás funciones que le encomienden las leyes</w:t>
      </w:r>
      <w:r w:rsidRPr="0074526F">
        <w:rPr>
          <w:rFonts w:ascii="Verdana" w:hAnsi="Verdana" w:cs="Calibri"/>
          <w:bCs/>
          <w:sz w:val="22"/>
          <w:szCs w:val="22"/>
          <w:lang w:val="es-ES"/>
        </w:rPr>
        <w:t>.</w:t>
      </w:r>
    </w:p>
    <w:p w14:paraId="7F3283A4" w14:textId="77777777" w:rsidR="005362F6" w:rsidRPr="0074526F" w:rsidRDefault="005362F6" w:rsidP="005362F6">
      <w:pPr>
        <w:jc w:val="both"/>
        <w:rPr>
          <w:rFonts w:ascii="Verdana" w:hAnsi="Verdana" w:cs="Calibri"/>
          <w:bCs/>
          <w:sz w:val="22"/>
          <w:szCs w:val="22"/>
          <w:lang w:val="es-ES"/>
        </w:rPr>
      </w:pPr>
    </w:p>
    <w:p w14:paraId="4FF1369E" w14:textId="77777777" w:rsidR="00146681" w:rsidRDefault="005362F6" w:rsidP="00146681">
      <w:pPr>
        <w:ind w:firstLine="3402"/>
        <w:jc w:val="both"/>
        <w:rPr>
          <w:rFonts w:ascii="Verdana" w:hAnsi="Verdana" w:cs="Calibri"/>
          <w:bCs/>
          <w:sz w:val="22"/>
          <w:szCs w:val="22"/>
          <w:lang w:val="es-ES"/>
        </w:rPr>
      </w:pPr>
      <w:r>
        <w:rPr>
          <w:rFonts w:ascii="Verdana" w:hAnsi="Verdana" w:cs="Calibri"/>
          <w:bCs/>
          <w:sz w:val="22"/>
          <w:szCs w:val="22"/>
          <w:lang w:val="es-ES"/>
        </w:rPr>
        <w:t>Que,</w:t>
      </w:r>
      <w:r w:rsidR="00146681">
        <w:rPr>
          <w:rFonts w:ascii="Verdana" w:hAnsi="Verdana" w:cs="Calibri"/>
          <w:bCs/>
          <w:sz w:val="22"/>
          <w:szCs w:val="22"/>
          <w:lang w:val="es-ES"/>
        </w:rPr>
        <w:t xml:space="preserve"> el mismo text</w:t>
      </w:r>
      <w:r w:rsidR="00D137AF">
        <w:rPr>
          <w:rFonts w:ascii="Verdana" w:hAnsi="Verdana" w:cs="Calibri"/>
          <w:bCs/>
          <w:sz w:val="22"/>
          <w:szCs w:val="22"/>
          <w:lang w:val="es-ES"/>
        </w:rPr>
        <w:t>o</w:t>
      </w:r>
      <w:r w:rsidR="00146681">
        <w:rPr>
          <w:rFonts w:ascii="Verdana" w:hAnsi="Verdana" w:cs="Calibri"/>
          <w:bCs/>
          <w:sz w:val="22"/>
          <w:szCs w:val="22"/>
          <w:lang w:val="es-ES"/>
        </w:rPr>
        <w:t xml:space="preserve"> </w:t>
      </w:r>
      <w:r w:rsidR="00D137AF">
        <w:rPr>
          <w:rFonts w:ascii="Verdana" w:hAnsi="Verdana" w:cs="Calibri"/>
          <w:bCs/>
          <w:sz w:val="22"/>
          <w:szCs w:val="22"/>
          <w:lang w:val="es-ES"/>
        </w:rPr>
        <w:t xml:space="preserve">legal </w:t>
      </w:r>
      <w:r w:rsidR="00146681">
        <w:rPr>
          <w:rFonts w:ascii="Verdana" w:hAnsi="Verdana" w:cs="Calibri"/>
          <w:bCs/>
          <w:sz w:val="22"/>
          <w:szCs w:val="22"/>
          <w:lang w:val="es-ES"/>
        </w:rPr>
        <w:t xml:space="preserve">en el artículo 2 N°1 le confiere al Servicio de Aduanas la denominada Potestad Aduanera que define como “el conjunto de atribuciones que tiene el Servicio para controlar el ingreso y salida </w:t>
      </w:r>
      <w:r w:rsidR="00D137AF">
        <w:rPr>
          <w:rFonts w:ascii="Verdana" w:hAnsi="Verdana" w:cs="Calibri"/>
          <w:bCs/>
          <w:sz w:val="22"/>
          <w:szCs w:val="22"/>
          <w:lang w:val="es-ES"/>
        </w:rPr>
        <w:t>de mercancías hacia y desde el territorio nacional y para dar cumplimiento a las disposiciones legales y reglamentarias que regulan las actuaciones aduaneras. Quedan también sujetas a dicha potestad las personas que pasen por las fronteras, puertos y aeropuertos, y la importación y exportación de los servicios respecto de los cuales la ley disponga intervención de la Aduana.”</w:t>
      </w:r>
    </w:p>
    <w:p w14:paraId="73C937F7" w14:textId="77777777" w:rsidR="00EF597C" w:rsidRPr="003C7346" w:rsidRDefault="00EF597C" w:rsidP="00146681">
      <w:pPr>
        <w:ind w:firstLine="3402"/>
        <w:jc w:val="both"/>
        <w:rPr>
          <w:rFonts w:ascii="Verdana" w:hAnsi="Verdana" w:cs="Calibri"/>
          <w:bCs/>
          <w:sz w:val="22"/>
          <w:szCs w:val="22"/>
          <w:lang w:val="es-ES"/>
        </w:rPr>
      </w:pPr>
    </w:p>
    <w:p w14:paraId="09750681" w14:textId="77777777" w:rsidR="005362F6" w:rsidRDefault="00D137AF" w:rsidP="005362F6">
      <w:pPr>
        <w:ind w:firstLine="3544"/>
        <w:jc w:val="both"/>
        <w:rPr>
          <w:rFonts w:ascii="Verdana" w:hAnsi="Verdana" w:cs="Calibri"/>
          <w:bCs/>
          <w:sz w:val="22"/>
          <w:szCs w:val="22"/>
          <w:lang w:val="es-ES"/>
        </w:rPr>
      </w:pPr>
      <w:r>
        <w:rPr>
          <w:rFonts w:ascii="Verdana" w:hAnsi="Verdana" w:cs="Calibri"/>
          <w:bCs/>
          <w:sz w:val="22"/>
          <w:szCs w:val="22"/>
          <w:lang w:val="es-ES"/>
        </w:rPr>
        <w:t xml:space="preserve">Que, </w:t>
      </w:r>
      <w:r w:rsidR="00A25041">
        <w:rPr>
          <w:rFonts w:ascii="Verdana" w:hAnsi="Verdana" w:cs="Calibri"/>
          <w:bCs/>
          <w:sz w:val="22"/>
          <w:szCs w:val="22"/>
          <w:lang w:val="es-ES"/>
        </w:rPr>
        <w:t>el artículo 37 establece que, los pasajeros y tripulantes que entren o salgan del país solo estarán obligados a declarar, al momento de traspasar el control aduanero, las mercancías no comprendidas en el concepto de equipaje, el que se encuentra definido en el artículo 31 g) del mismo texto legal, la Nota Legal N° 6 de la partida 00.09 del Arancel Aduanero Nacional y desarrollado en la Resolución N° 309 de 17.01.2018 del Director Nacional de Aduanas.</w:t>
      </w:r>
    </w:p>
    <w:p w14:paraId="69873B6F" w14:textId="77777777" w:rsidR="00D44DD8" w:rsidRDefault="00D44DD8" w:rsidP="005362F6">
      <w:pPr>
        <w:ind w:firstLine="3544"/>
        <w:jc w:val="both"/>
        <w:rPr>
          <w:rFonts w:ascii="Verdana" w:hAnsi="Verdana" w:cs="Calibri"/>
          <w:bCs/>
          <w:sz w:val="22"/>
          <w:szCs w:val="22"/>
          <w:lang w:val="es-ES"/>
        </w:rPr>
      </w:pPr>
    </w:p>
    <w:p w14:paraId="03FFF07D" w14:textId="77777777" w:rsidR="00EF597C" w:rsidRDefault="00EF597C" w:rsidP="005362F6">
      <w:pPr>
        <w:ind w:firstLine="3544"/>
        <w:jc w:val="both"/>
        <w:rPr>
          <w:rFonts w:ascii="Verdana" w:hAnsi="Verdana" w:cs="Calibri"/>
          <w:bCs/>
          <w:sz w:val="22"/>
          <w:szCs w:val="22"/>
          <w:lang w:val="es-ES"/>
        </w:rPr>
      </w:pPr>
      <w:r>
        <w:rPr>
          <w:rFonts w:ascii="Verdana" w:hAnsi="Verdana" w:cs="Calibri"/>
          <w:bCs/>
          <w:sz w:val="22"/>
          <w:szCs w:val="22"/>
          <w:lang w:val="es-ES"/>
        </w:rPr>
        <w:t xml:space="preserve">Que, en la actualidad, en el Aeropuerto Arturo Merino Benítez se encuentra implementado control de doble circuito, con luz roja y verde, que obliga a los pasajeros que arriban al país y que porten mercancías que deban ser objeto de declaración, a ingresar por </w:t>
      </w:r>
      <w:r w:rsidR="005D6EF4">
        <w:rPr>
          <w:rFonts w:ascii="Verdana" w:hAnsi="Verdana" w:cs="Calibri"/>
          <w:bCs/>
          <w:sz w:val="22"/>
          <w:szCs w:val="22"/>
          <w:lang w:val="es-ES"/>
        </w:rPr>
        <w:t xml:space="preserve">carril </w:t>
      </w:r>
      <w:r>
        <w:rPr>
          <w:rFonts w:ascii="Verdana" w:hAnsi="Verdana" w:cs="Calibri"/>
          <w:bCs/>
          <w:sz w:val="22"/>
          <w:szCs w:val="22"/>
          <w:lang w:val="es-ES"/>
        </w:rPr>
        <w:t xml:space="preserve">de luz color rojo y a los que, por el contrario, no deban efectuar declaración alguna, a ingresar por </w:t>
      </w:r>
      <w:r w:rsidR="005D6EF4">
        <w:rPr>
          <w:rFonts w:ascii="Verdana" w:hAnsi="Verdana" w:cs="Calibri"/>
          <w:bCs/>
          <w:sz w:val="22"/>
          <w:szCs w:val="22"/>
          <w:lang w:val="es-ES"/>
        </w:rPr>
        <w:t xml:space="preserve">carril de </w:t>
      </w:r>
      <w:r>
        <w:rPr>
          <w:rFonts w:ascii="Verdana" w:hAnsi="Verdana" w:cs="Calibri"/>
          <w:bCs/>
          <w:sz w:val="22"/>
          <w:szCs w:val="22"/>
          <w:lang w:val="es-ES"/>
        </w:rPr>
        <w:t>luz color verde.</w:t>
      </w:r>
    </w:p>
    <w:p w14:paraId="0CB992C0" w14:textId="77777777" w:rsidR="00EF597C" w:rsidRDefault="00EF597C" w:rsidP="005362F6">
      <w:pPr>
        <w:ind w:firstLine="3544"/>
        <w:jc w:val="both"/>
        <w:rPr>
          <w:rFonts w:ascii="Verdana" w:hAnsi="Verdana" w:cs="Calibri"/>
          <w:bCs/>
          <w:sz w:val="22"/>
          <w:szCs w:val="22"/>
          <w:lang w:val="es-ES"/>
        </w:rPr>
      </w:pPr>
    </w:p>
    <w:p w14:paraId="152FC07E" w14:textId="77777777" w:rsidR="00112CFA" w:rsidRDefault="00112CFA">
      <w:pPr>
        <w:rPr>
          <w:rFonts w:ascii="Verdana" w:hAnsi="Verdana" w:cs="Calibri"/>
          <w:bCs/>
          <w:sz w:val="22"/>
          <w:szCs w:val="22"/>
          <w:lang w:val="es-ES"/>
        </w:rPr>
      </w:pPr>
      <w:r>
        <w:rPr>
          <w:rFonts w:ascii="Verdana" w:hAnsi="Verdana" w:cs="Calibri"/>
          <w:bCs/>
          <w:sz w:val="22"/>
          <w:szCs w:val="22"/>
          <w:lang w:val="es-ES"/>
        </w:rPr>
        <w:br w:type="page"/>
      </w:r>
    </w:p>
    <w:p w14:paraId="63F86BE1" w14:textId="77777777" w:rsidR="00112CFA" w:rsidRDefault="00112CFA" w:rsidP="005362F6">
      <w:pPr>
        <w:ind w:firstLine="3544"/>
        <w:jc w:val="both"/>
        <w:rPr>
          <w:rFonts w:ascii="Verdana" w:hAnsi="Verdana" w:cs="Calibri"/>
          <w:bCs/>
          <w:sz w:val="22"/>
          <w:szCs w:val="22"/>
          <w:lang w:val="es-ES"/>
        </w:rPr>
      </w:pPr>
    </w:p>
    <w:p w14:paraId="463F9116" w14:textId="02BFDA8B" w:rsidR="00A25041" w:rsidRDefault="00D44DD8" w:rsidP="005362F6">
      <w:pPr>
        <w:ind w:firstLine="3544"/>
        <w:jc w:val="both"/>
        <w:rPr>
          <w:rFonts w:ascii="Verdana" w:hAnsi="Verdana" w:cs="Calibri"/>
          <w:bCs/>
          <w:sz w:val="22"/>
          <w:szCs w:val="22"/>
          <w:lang w:val="es-ES"/>
        </w:rPr>
      </w:pPr>
      <w:r>
        <w:rPr>
          <w:rFonts w:ascii="Verdana" w:hAnsi="Verdana" w:cs="Calibri"/>
          <w:bCs/>
          <w:sz w:val="22"/>
          <w:szCs w:val="22"/>
          <w:lang w:val="es-ES"/>
        </w:rPr>
        <w:t>Que, en el mismo orden de cosas</w:t>
      </w:r>
      <w:r w:rsidR="00847A0F">
        <w:rPr>
          <w:rFonts w:ascii="Verdana" w:hAnsi="Verdana" w:cs="Calibri"/>
          <w:bCs/>
          <w:sz w:val="22"/>
          <w:szCs w:val="22"/>
          <w:lang w:val="es-ES"/>
        </w:rPr>
        <w:t>,</w:t>
      </w:r>
      <w:r>
        <w:rPr>
          <w:rFonts w:ascii="Verdana" w:hAnsi="Verdana" w:cs="Calibri"/>
          <w:bCs/>
          <w:sz w:val="22"/>
          <w:szCs w:val="22"/>
          <w:lang w:val="es-ES"/>
        </w:rPr>
        <w:t xml:space="preserve"> el artículo 176 m) de la Ordenanza de Aduanas sanciona con una multa de hasta el 80% del valor aduanero de las mercancías, la no presentación a la Aduana, al momento de pasar el control </w:t>
      </w:r>
      <w:r w:rsidR="003A3DAA">
        <w:rPr>
          <w:rFonts w:ascii="Verdana" w:hAnsi="Verdana" w:cs="Calibri"/>
          <w:bCs/>
          <w:sz w:val="22"/>
          <w:szCs w:val="22"/>
          <w:lang w:val="es-ES"/>
        </w:rPr>
        <w:t>aduanero de doble circuito (luz roja – luz verde), de mercancías afectas a derechos que porten los viajeros, siempre que la infracción no sea constitutiva del delito de contrabando.</w:t>
      </w:r>
    </w:p>
    <w:p w14:paraId="47D96364" w14:textId="77777777" w:rsidR="00D7261A" w:rsidRDefault="00D7261A" w:rsidP="005362F6">
      <w:pPr>
        <w:ind w:firstLine="3544"/>
        <w:jc w:val="both"/>
        <w:rPr>
          <w:rFonts w:ascii="Verdana" w:hAnsi="Verdana" w:cs="Calibri"/>
          <w:bCs/>
          <w:sz w:val="22"/>
          <w:szCs w:val="22"/>
          <w:lang w:val="es-ES"/>
        </w:rPr>
      </w:pPr>
    </w:p>
    <w:p w14:paraId="5BF8CDF0" w14:textId="3E30271F" w:rsidR="00D5489F" w:rsidRDefault="00112CFA" w:rsidP="00112CFA">
      <w:pPr>
        <w:pStyle w:val="HTMLconformatoprevio"/>
        <w:jc w:val="both"/>
        <w:rPr>
          <w:rFonts w:ascii="Verdana" w:hAnsi="Verdana" w:cs="Calibri"/>
          <w:bCs/>
          <w:sz w:val="22"/>
          <w:szCs w:val="22"/>
          <w:lang w:val="es-ES"/>
        </w:rPr>
      </w:pPr>
      <w:r>
        <w:rPr>
          <w:rFonts w:ascii="Verdana" w:hAnsi="Verdana" w:cs="Calibri"/>
          <w:bCs/>
          <w:sz w:val="22"/>
          <w:szCs w:val="22"/>
          <w:lang w:val="es-ES"/>
        </w:rPr>
        <w:tab/>
      </w:r>
      <w:r>
        <w:rPr>
          <w:rFonts w:ascii="Verdana" w:hAnsi="Verdana" w:cs="Calibri"/>
          <w:bCs/>
          <w:sz w:val="22"/>
          <w:szCs w:val="22"/>
          <w:lang w:val="es-ES"/>
        </w:rPr>
        <w:tab/>
      </w:r>
      <w:r>
        <w:rPr>
          <w:rFonts w:ascii="Verdana" w:hAnsi="Verdana" w:cs="Calibri"/>
          <w:bCs/>
          <w:sz w:val="22"/>
          <w:szCs w:val="22"/>
          <w:lang w:val="es-ES"/>
        </w:rPr>
        <w:tab/>
      </w:r>
      <w:r>
        <w:rPr>
          <w:rFonts w:ascii="Verdana" w:hAnsi="Verdana" w:cs="Calibri"/>
          <w:bCs/>
          <w:sz w:val="22"/>
          <w:szCs w:val="22"/>
          <w:lang w:val="es-ES"/>
        </w:rPr>
        <w:tab/>
      </w:r>
      <w:r w:rsidR="00847A0F">
        <w:rPr>
          <w:rFonts w:ascii="Verdana" w:hAnsi="Verdana" w:cs="Calibri"/>
          <w:bCs/>
          <w:sz w:val="22"/>
          <w:szCs w:val="22"/>
          <w:lang w:val="es-ES"/>
        </w:rPr>
        <w:t>Que, la ley 19.913 artículo 4°, establece que: “</w:t>
      </w:r>
      <w:r>
        <w:rPr>
          <w:rFonts w:ascii="Verdana" w:hAnsi="Verdana" w:cs="Calibri"/>
          <w:bCs/>
          <w:sz w:val="22"/>
          <w:szCs w:val="22"/>
          <w:lang w:val="es-ES"/>
        </w:rPr>
        <w:t xml:space="preserve"> </w:t>
      </w:r>
      <w:r w:rsidRPr="00112CFA">
        <w:rPr>
          <w:rFonts w:ascii="Verdana" w:hAnsi="Verdana" w:cs="Calibri"/>
          <w:bCs/>
          <w:sz w:val="22"/>
          <w:szCs w:val="22"/>
          <w:lang w:val="es-ES"/>
        </w:rPr>
        <w:t xml:space="preserve">El deber de informar previsto en el artículo </w:t>
      </w:r>
      <w:r>
        <w:rPr>
          <w:rFonts w:ascii="Verdana" w:hAnsi="Verdana" w:cs="Calibri"/>
          <w:bCs/>
          <w:sz w:val="22"/>
          <w:szCs w:val="22"/>
          <w:lang w:val="es-ES"/>
        </w:rPr>
        <w:t>(…)</w:t>
      </w:r>
      <w:r w:rsidRPr="00112CFA">
        <w:rPr>
          <w:rFonts w:ascii="Verdana" w:hAnsi="Verdana" w:cs="Calibri"/>
          <w:bCs/>
          <w:sz w:val="22"/>
          <w:szCs w:val="22"/>
          <w:lang w:val="es-ES"/>
        </w:rPr>
        <w:t xml:space="preserve"> será también exigible a todo aquel que porte o transporte moneda en efectivo o instrumentos negociables al portador, desde y hacia el país, por un monto que exceda los diez mil dólares de los Estados Unidos de América o su equivalente en otras monedas. En estos casos, la información será recabada directamente por el Servicio Nacional de Aduanas y remitida por éste a la Unidad de Análisis Financiero</w:t>
      </w:r>
      <w:r w:rsidR="00847A0F">
        <w:rPr>
          <w:rFonts w:ascii="Verdana" w:hAnsi="Verdana" w:cs="Calibri"/>
          <w:bCs/>
          <w:sz w:val="22"/>
          <w:szCs w:val="22"/>
          <w:lang w:val="es-ES"/>
        </w:rPr>
        <w:t>.”</w:t>
      </w:r>
    </w:p>
    <w:p w14:paraId="73014C92" w14:textId="77777777" w:rsidR="00847A0F" w:rsidRDefault="00847A0F" w:rsidP="005362F6">
      <w:pPr>
        <w:ind w:firstLine="3544"/>
        <w:jc w:val="both"/>
        <w:rPr>
          <w:rFonts w:ascii="Verdana" w:hAnsi="Verdana" w:cs="Calibri"/>
          <w:bCs/>
          <w:sz w:val="22"/>
          <w:szCs w:val="22"/>
          <w:lang w:val="es-ES"/>
        </w:rPr>
      </w:pPr>
    </w:p>
    <w:p w14:paraId="13E37BD2" w14:textId="77777777" w:rsidR="000E6F0C" w:rsidRDefault="000E6F0C" w:rsidP="005362F6">
      <w:pPr>
        <w:ind w:firstLine="3544"/>
        <w:jc w:val="both"/>
        <w:rPr>
          <w:rFonts w:ascii="Verdana" w:hAnsi="Verdana" w:cs="Calibri"/>
          <w:bCs/>
          <w:sz w:val="22"/>
          <w:szCs w:val="22"/>
          <w:lang w:val="es-ES"/>
        </w:rPr>
      </w:pPr>
      <w:r>
        <w:rPr>
          <w:rFonts w:ascii="Verdana" w:hAnsi="Verdana" w:cs="Calibri"/>
          <w:bCs/>
          <w:sz w:val="22"/>
          <w:szCs w:val="22"/>
          <w:lang w:val="es-ES"/>
        </w:rPr>
        <w:t xml:space="preserve">Que, el artículo 39 de la Ley 19.913, dispone que la </w:t>
      </w:r>
      <w:r w:rsidRPr="000E6F0C">
        <w:rPr>
          <w:rFonts w:ascii="Verdana" w:hAnsi="Verdana" w:cs="Calibri"/>
          <w:bCs/>
          <w:sz w:val="22"/>
          <w:szCs w:val="22"/>
          <w:lang w:val="es-ES"/>
        </w:rPr>
        <w:t xml:space="preserve">infracción de lo dispuesto en el artículo 4º estará sujeta al control y fiscalización del Servicio Nacional de Aduanas, el cual podrá aplicar a la persona que porte o transporte moneda en efectivo o instrumentos negociables al portador y que no los hubiere declarado, una multa a beneficio fiscal de hasta el 30% de la moneda en efectivo o del valor de dichas monedas o instrumentos no declarados, y tomará en especial consideración, el monto de los valores no declarados. </w:t>
      </w:r>
    </w:p>
    <w:p w14:paraId="1911E7A8" w14:textId="77777777" w:rsidR="008A7D90" w:rsidRDefault="008A7D90" w:rsidP="005362F6">
      <w:pPr>
        <w:ind w:firstLine="3544"/>
        <w:jc w:val="both"/>
        <w:rPr>
          <w:rFonts w:ascii="Verdana" w:hAnsi="Verdana" w:cs="Calibri"/>
          <w:bCs/>
          <w:sz w:val="22"/>
          <w:szCs w:val="22"/>
          <w:lang w:val="es-ES"/>
        </w:rPr>
      </w:pPr>
    </w:p>
    <w:p w14:paraId="5EF0CCA1" w14:textId="77777777" w:rsidR="00815F50" w:rsidRDefault="00815F50" w:rsidP="00815F50">
      <w:pPr>
        <w:ind w:firstLine="3544"/>
        <w:jc w:val="both"/>
        <w:rPr>
          <w:rFonts w:ascii="Verdana" w:hAnsi="Verdana" w:cs="Calibri"/>
          <w:bCs/>
          <w:sz w:val="22"/>
          <w:szCs w:val="22"/>
          <w:lang w:val="es-ES"/>
        </w:rPr>
      </w:pPr>
      <w:r>
        <w:rPr>
          <w:rFonts w:ascii="Verdana" w:hAnsi="Verdana" w:cs="Calibri"/>
          <w:bCs/>
          <w:sz w:val="22"/>
          <w:szCs w:val="22"/>
          <w:lang w:val="es-ES"/>
        </w:rPr>
        <w:t>Que, mediante oficio circular N° 376 de 21.11.2008, el Director Nacional de Aduanas imparte instrucciones acerca del cumplimiento de</w:t>
      </w:r>
      <w:r w:rsidR="008A7D90">
        <w:rPr>
          <w:rFonts w:ascii="Verdana" w:hAnsi="Verdana" w:cs="Calibri"/>
          <w:bCs/>
          <w:sz w:val="22"/>
          <w:szCs w:val="22"/>
          <w:lang w:val="es-ES"/>
        </w:rPr>
        <w:t xml:space="preserve">l citado artículo 4° a través de </w:t>
      </w:r>
      <w:r>
        <w:rPr>
          <w:rFonts w:ascii="Verdana" w:hAnsi="Verdana" w:cs="Calibri"/>
          <w:bCs/>
          <w:sz w:val="22"/>
          <w:szCs w:val="22"/>
          <w:lang w:val="es-ES"/>
        </w:rPr>
        <w:t>la utilización de la aplicación web, formulario en línea “Declaración de Dinero Art. 4° ley 19.913”, desarrollada por la Unidad de Análisis Financiero (UAF), lo que permitirá la digitación de la información en línea en las bases de datos de la UAF.</w:t>
      </w:r>
    </w:p>
    <w:p w14:paraId="56E729F5" w14:textId="77777777" w:rsidR="00815F50" w:rsidRDefault="00815F50" w:rsidP="00815F50">
      <w:pPr>
        <w:ind w:firstLine="3544"/>
        <w:jc w:val="both"/>
        <w:rPr>
          <w:rFonts w:ascii="Verdana" w:hAnsi="Verdana" w:cs="Calibri"/>
          <w:bCs/>
          <w:sz w:val="22"/>
          <w:szCs w:val="22"/>
          <w:lang w:val="es-ES"/>
        </w:rPr>
      </w:pPr>
    </w:p>
    <w:p w14:paraId="557D782E" w14:textId="5DCF7790" w:rsidR="008213A2" w:rsidRDefault="00EF597C" w:rsidP="005362F6">
      <w:pPr>
        <w:ind w:firstLine="3544"/>
        <w:jc w:val="both"/>
        <w:rPr>
          <w:rFonts w:ascii="Verdana" w:hAnsi="Verdana" w:cs="Calibri"/>
          <w:bCs/>
          <w:sz w:val="22"/>
          <w:szCs w:val="22"/>
          <w:lang w:val="es-ES"/>
        </w:rPr>
      </w:pPr>
      <w:r>
        <w:rPr>
          <w:rFonts w:ascii="Verdana" w:hAnsi="Verdana" w:cs="Calibri"/>
          <w:bCs/>
          <w:sz w:val="22"/>
          <w:szCs w:val="22"/>
          <w:lang w:val="es-ES"/>
        </w:rPr>
        <w:t>Que, mediante Resolución Exenta N°39/04.01.2005, se aprobó</w:t>
      </w:r>
      <w:r w:rsidR="00577332">
        <w:rPr>
          <w:rFonts w:ascii="Verdana" w:hAnsi="Verdana" w:cs="Calibri"/>
          <w:bCs/>
          <w:sz w:val="22"/>
          <w:szCs w:val="22"/>
          <w:lang w:val="es-ES"/>
        </w:rPr>
        <w:t>, como medida de facilitación para las personas,</w:t>
      </w:r>
      <w:r>
        <w:rPr>
          <w:rFonts w:ascii="Verdana" w:hAnsi="Verdana" w:cs="Calibri"/>
          <w:bCs/>
          <w:sz w:val="22"/>
          <w:szCs w:val="22"/>
          <w:lang w:val="es-ES"/>
        </w:rPr>
        <w:t xml:space="preserve"> formulario de Declaración Jurada que debe ser llenado por </w:t>
      </w:r>
      <w:r w:rsidR="00577332">
        <w:rPr>
          <w:rFonts w:ascii="Verdana" w:hAnsi="Verdana" w:cs="Calibri"/>
          <w:bCs/>
          <w:sz w:val="22"/>
          <w:szCs w:val="22"/>
          <w:lang w:val="es-ES"/>
        </w:rPr>
        <w:t>todo quien ingresa</w:t>
      </w:r>
      <w:r>
        <w:rPr>
          <w:rFonts w:ascii="Verdana" w:hAnsi="Verdana" w:cs="Calibri"/>
          <w:bCs/>
          <w:sz w:val="22"/>
          <w:szCs w:val="22"/>
          <w:lang w:val="es-ES"/>
        </w:rPr>
        <w:t xml:space="preserve"> al país, para informar a la Aduana y al Servicio Agrícola y Ganadero</w:t>
      </w:r>
      <w:r w:rsidR="00577332">
        <w:rPr>
          <w:rFonts w:ascii="Verdana" w:hAnsi="Verdana" w:cs="Calibri"/>
          <w:bCs/>
          <w:sz w:val="22"/>
          <w:szCs w:val="22"/>
          <w:lang w:val="es-ES"/>
        </w:rPr>
        <w:t xml:space="preserve"> el porte de mercancías que excedan del concepto de equipaje, el porte de dinero o </w:t>
      </w:r>
      <w:r w:rsidR="008213A2">
        <w:rPr>
          <w:rFonts w:ascii="Verdana" w:hAnsi="Verdana" w:cs="Calibri"/>
          <w:bCs/>
          <w:sz w:val="22"/>
          <w:szCs w:val="22"/>
          <w:lang w:val="es-ES"/>
        </w:rPr>
        <w:t xml:space="preserve">instrumentos </w:t>
      </w:r>
      <w:r w:rsidR="00577332">
        <w:rPr>
          <w:rFonts w:ascii="Verdana" w:hAnsi="Verdana" w:cs="Calibri"/>
          <w:bCs/>
          <w:sz w:val="22"/>
          <w:szCs w:val="22"/>
          <w:lang w:val="es-ES"/>
        </w:rPr>
        <w:t xml:space="preserve">negociables por montos superiores a los antes indicados o el porte de productos </w:t>
      </w:r>
      <w:r w:rsidR="008213A2">
        <w:rPr>
          <w:rFonts w:ascii="Verdana" w:hAnsi="Verdana" w:cs="Calibri"/>
          <w:bCs/>
          <w:sz w:val="22"/>
          <w:szCs w:val="22"/>
          <w:lang w:val="es-ES"/>
        </w:rPr>
        <w:t>de origen animal o vegetal</w:t>
      </w:r>
      <w:r w:rsidR="00577332">
        <w:rPr>
          <w:rFonts w:ascii="Verdana" w:hAnsi="Verdana" w:cs="Calibri"/>
          <w:bCs/>
          <w:sz w:val="22"/>
          <w:szCs w:val="22"/>
          <w:lang w:val="es-ES"/>
        </w:rPr>
        <w:t>.</w:t>
      </w:r>
    </w:p>
    <w:p w14:paraId="7B2AB943" w14:textId="77777777" w:rsidR="00112CFA" w:rsidRDefault="00112CFA" w:rsidP="005362F6">
      <w:pPr>
        <w:ind w:firstLine="3544"/>
        <w:jc w:val="both"/>
        <w:rPr>
          <w:rFonts w:ascii="Verdana" w:hAnsi="Verdana" w:cs="Calibri"/>
          <w:bCs/>
          <w:sz w:val="22"/>
          <w:szCs w:val="22"/>
          <w:lang w:val="es-ES"/>
        </w:rPr>
      </w:pPr>
    </w:p>
    <w:p w14:paraId="49786071" w14:textId="77777777" w:rsidR="00D7261A" w:rsidRDefault="00D7261A" w:rsidP="005362F6">
      <w:pPr>
        <w:ind w:firstLine="3544"/>
        <w:jc w:val="both"/>
        <w:rPr>
          <w:rFonts w:ascii="Verdana" w:hAnsi="Verdana" w:cs="Calibri"/>
          <w:bCs/>
          <w:sz w:val="22"/>
          <w:szCs w:val="22"/>
          <w:lang w:val="es-ES"/>
        </w:rPr>
      </w:pPr>
      <w:r>
        <w:rPr>
          <w:rFonts w:ascii="Verdana" w:hAnsi="Verdana" w:cs="Calibri"/>
          <w:bCs/>
          <w:sz w:val="22"/>
          <w:szCs w:val="22"/>
          <w:lang w:val="es-ES"/>
        </w:rPr>
        <w:t xml:space="preserve">Que, </w:t>
      </w:r>
      <w:r w:rsidR="00815F50">
        <w:rPr>
          <w:rFonts w:ascii="Verdana" w:hAnsi="Verdana" w:cs="Calibri"/>
          <w:bCs/>
          <w:sz w:val="22"/>
          <w:szCs w:val="22"/>
          <w:lang w:val="es-ES"/>
        </w:rPr>
        <w:t>con todo</w:t>
      </w:r>
      <w:r w:rsidR="00577332">
        <w:rPr>
          <w:rFonts w:ascii="Verdana" w:hAnsi="Verdana" w:cs="Calibri"/>
          <w:bCs/>
          <w:sz w:val="22"/>
          <w:szCs w:val="22"/>
          <w:lang w:val="es-ES"/>
        </w:rPr>
        <w:t xml:space="preserve">, cabe tener presente que </w:t>
      </w:r>
      <w:r>
        <w:rPr>
          <w:rFonts w:ascii="Verdana" w:hAnsi="Verdana" w:cs="Calibri"/>
          <w:bCs/>
          <w:sz w:val="22"/>
          <w:szCs w:val="22"/>
          <w:lang w:val="es-ES"/>
        </w:rPr>
        <w:t>de conformidad con lo dispuesto en el artículo 185 de la Ordenanza de Aduanas, los funcionarios de Aduana que, en el ejercicio de su labor fiscalizadora, detectaren una contravención, la harán constar por escrito, señalando de manera precisa los hechos que la constituyen, la individualización de la persona a quien se le impute, la norma infringida. La sanción asignada por la ley y los demás datos necesarios para la aplicación de la multa que diere lugar. En esta actuación, los funcionarios tendrán la calidad de ministros de fe.</w:t>
      </w:r>
    </w:p>
    <w:p w14:paraId="2A189FD3" w14:textId="35FE59DA" w:rsidR="00112CFA" w:rsidRDefault="00112CFA">
      <w:pPr>
        <w:rPr>
          <w:rFonts w:ascii="Verdana" w:hAnsi="Verdana" w:cs="Calibri"/>
          <w:bCs/>
          <w:sz w:val="22"/>
          <w:szCs w:val="22"/>
          <w:lang w:val="es-ES"/>
        </w:rPr>
      </w:pPr>
      <w:r>
        <w:rPr>
          <w:rFonts w:ascii="Verdana" w:hAnsi="Verdana" w:cs="Calibri"/>
          <w:bCs/>
          <w:sz w:val="22"/>
          <w:szCs w:val="22"/>
          <w:lang w:val="es-ES"/>
        </w:rPr>
        <w:br w:type="page"/>
      </w:r>
    </w:p>
    <w:p w14:paraId="79C9D802" w14:textId="77777777" w:rsidR="00815F50" w:rsidRDefault="00815F50" w:rsidP="005362F6">
      <w:pPr>
        <w:ind w:firstLine="3544"/>
        <w:jc w:val="both"/>
        <w:rPr>
          <w:rFonts w:ascii="Verdana" w:hAnsi="Verdana" w:cs="Calibri"/>
          <w:bCs/>
          <w:sz w:val="22"/>
          <w:szCs w:val="22"/>
          <w:lang w:val="es-ES"/>
        </w:rPr>
      </w:pPr>
    </w:p>
    <w:p w14:paraId="0DB83427" w14:textId="77777777" w:rsidR="00846294" w:rsidRDefault="00815F50" w:rsidP="005362F6">
      <w:pPr>
        <w:ind w:firstLine="3544"/>
        <w:jc w:val="both"/>
        <w:rPr>
          <w:rFonts w:ascii="Verdana" w:hAnsi="Verdana" w:cs="Calibri"/>
          <w:bCs/>
          <w:sz w:val="22"/>
          <w:szCs w:val="22"/>
          <w:lang w:val="es-ES"/>
        </w:rPr>
      </w:pPr>
      <w:r>
        <w:rPr>
          <w:rFonts w:ascii="Verdana" w:hAnsi="Verdana" w:cs="Calibri"/>
          <w:bCs/>
          <w:sz w:val="22"/>
          <w:szCs w:val="22"/>
          <w:lang w:val="es-ES"/>
        </w:rPr>
        <w:t xml:space="preserve">Que, </w:t>
      </w:r>
      <w:r w:rsidR="008A7D90">
        <w:rPr>
          <w:rFonts w:ascii="Verdana" w:hAnsi="Verdana" w:cs="Calibri"/>
          <w:bCs/>
          <w:sz w:val="22"/>
          <w:szCs w:val="22"/>
          <w:lang w:val="es-ES"/>
        </w:rPr>
        <w:t>m</w:t>
      </w:r>
      <w:r w:rsidR="000E6F0C">
        <w:rPr>
          <w:rFonts w:ascii="Verdana" w:hAnsi="Verdana" w:cs="Calibri"/>
          <w:bCs/>
          <w:sz w:val="22"/>
          <w:szCs w:val="22"/>
          <w:lang w:val="es-ES"/>
        </w:rPr>
        <w:t xml:space="preserve">ediante Oficio Ordinario N°6445/28.05.2019, la Subdirección Jurídica informó que </w:t>
      </w:r>
      <w:r w:rsidR="008A7D90">
        <w:rPr>
          <w:rFonts w:ascii="Verdana" w:hAnsi="Verdana" w:cs="Calibri"/>
          <w:bCs/>
          <w:sz w:val="22"/>
          <w:szCs w:val="22"/>
          <w:lang w:val="es-ES"/>
        </w:rPr>
        <w:t xml:space="preserve">el </w:t>
      </w:r>
      <w:r w:rsidR="00846294">
        <w:rPr>
          <w:rFonts w:ascii="Verdana" w:hAnsi="Verdana" w:cs="Calibri"/>
          <w:bCs/>
          <w:sz w:val="22"/>
          <w:szCs w:val="22"/>
          <w:lang w:val="es-ES"/>
        </w:rPr>
        <w:t xml:space="preserve">formulario de Declaración Jurada conjunta, </w:t>
      </w:r>
      <w:r w:rsidR="008A7D90">
        <w:rPr>
          <w:rFonts w:ascii="Verdana" w:hAnsi="Verdana" w:cs="Calibri"/>
          <w:bCs/>
          <w:sz w:val="22"/>
          <w:szCs w:val="22"/>
          <w:lang w:val="es-ES"/>
        </w:rPr>
        <w:t xml:space="preserve">a través del cual las personas declaran </w:t>
      </w:r>
      <w:r w:rsidR="00846294">
        <w:rPr>
          <w:rFonts w:ascii="Verdana" w:hAnsi="Verdana" w:cs="Calibri"/>
          <w:bCs/>
          <w:sz w:val="22"/>
          <w:szCs w:val="22"/>
          <w:lang w:val="es-ES"/>
        </w:rPr>
        <w:t xml:space="preserve">a la Aduana </w:t>
      </w:r>
      <w:r w:rsidR="008A7D90">
        <w:rPr>
          <w:rFonts w:ascii="Verdana" w:hAnsi="Verdana" w:cs="Calibri"/>
          <w:bCs/>
          <w:sz w:val="22"/>
          <w:szCs w:val="22"/>
          <w:lang w:val="es-ES"/>
        </w:rPr>
        <w:t xml:space="preserve">si </w:t>
      </w:r>
      <w:r w:rsidR="00846294">
        <w:rPr>
          <w:rFonts w:ascii="Verdana" w:hAnsi="Verdana" w:cs="Calibri"/>
          <w:bCs/>
          <w:sz w:val="22"/>
          <w:szCs w:val="22"/>
          <w:lang w:val="es-ES"/>
        </w:rPr>
        <w:t>traen o no traen mercancías no comprendidas en el concepto de equipaje y, si traen o no traen más de diez mil dólares en efectivo o instrumentos negociables al portador, constituye un mecanismo de control y fiscalización preventivo, el cual no debe confundirse con el cumplimiento de la obligación de pasajeros y tripulantes de presentar y declarar ante el Servicio tales mercancías o dinero.</w:t>
      </w:r>
    </w:p>
    <w:p w14:paraId="5E546778" w14:textId="77777777" w:rsidR="00112CFA" w:rsidRDefault="00112CFA" w:rsidP="005362F6">
      <w:pPr>
        <w:ind w:firstLine="3544"/>
        <w:jc w:val="both"/>
        <w:rPr>
          <w:rFonts w:ascii="Verdana" w:hAnsi="Verdana" w:cs="Calibri"/>
          <w:bCs/>
          <w:sz w:val="22"/>
          <w:szCs w:val="22"/>
          <w:lang w:val="es-ES"/>
        </w:rPr>
      </w:pPr>
    </w:p>
    <w:p w14:paraId="6EB56F1E" w14:textId="77777777" w:rsidR="00846294" w:rsidRDefault="00846294" w:rsidP="005D6EF4">
      <w:pPr>
        <w:ind w:firstLine="3544"/>
        <w:jc w:val="both"/>
        <w:rPr>
          <w:rFonts w:ascii="Verdana" w:hAnsi="Verdana" w:cs="Calibri"/>
          <w:bCs/>
          <w:sz w:val="22"/>
          <w:szCs w:val="22"/>
          <w:lang w:val="es-ES"/>
        </w:rPr>
      </w:pPr>
      <w:r>
        <w:rPr>
          <w:rFonts w:ascii="Verdana" w:hAnsi="Verdana" w:cs="Calibri"/>
          <w:bCs/>
          <w:sz w:val="22"/>
          <w:szCs w:val="22"/>
          <w:lang w:val="es-ES"/>
        </w:rPr>
        <w:t>Que, por l</w:t>
      </w:r>
      <w:r w:rsidR="005D6EF4">
        <w:rPr>
          <w:rFonts w:ascii="Verdana" w:hAnsi="Verdana" w:cs="Calibri"/>
          <w:bCs/>
          <w:sz w:val="22"/>
          <w:szCs w:val="22"/>
          <w:lang w:val="es-ES"/>
        </w:rPr>
        <w:t xml:space="preserve">as consideraciones señaladas, </w:t>
      </w:r>
      <w:r>
        <w:rPr>
          <w:rFonts w:ascii="Verdana" w:hAnsi="Verdana" w:cs="Calibri"/>
          <w:bCs/>
          <w:sz w:val="22"/>
          <w:szCs w:val="22"/>
          <w:lang w:val="es-ES"/>
        </w:rPr>
        <w:t>se estima procedente dejar sin efecto la obligación de llenar el aludido formulario</w:t>
      </w:r>
      <w:r w:rsidR="005D6EF4">
        <w:rPr>
          <w:rFonts w:ascii="Verdana" w:hAnsi="Verdana" w:cs="Calibri"/>
          <w:bCs/>
          <w:sz w:val="22"/>
          <w:szCs w:val="22"/>
          <w:lang w:val="es-ES"/>
        </w:rPr>
        <w:t xml:space="preserve"> en aquellos puertos o aeropuertos que cuenten con el control aduanero de doble circuito (carril/luz roja – carril/luz verde).</w:t>
      </w:r>
    </w:p>
    <w:p w14:paraId="68DD0046" w14:textId="77777777" w:rsidR="00815F50" w:rsidRDefault="00815F50" w:rsidP="005362F6">
      <w:pPr>
        <w:ind w:firstLine="3544"/>
        <w:jc w:val="both"/>
        <w:rPr>
          <w:rFonts w:ascii="Verdana" w:hAnsi="Verdana" w:cs="Calibri"/>
          <w:bCs/>
          <w:sz w:val="22"/>
          <w:szCs w:val="22"/>
          <w:lang w:val="es-ES"/>
        </w:rPr>
      </w:pPr>
    </w:p>
    <w:p w14:paraId="0C0995A7" w14:textId="03B4466C" w:rsidR="00847A0F" w:rsidRDefault="00847A0F" w:rsidP="005362F6">
      <w:pPr>
        <w:ind w:firstLine="3544"/>
        <w:jc w:val="both"/>
        <w:rPr>
          <w:rFonts w:ascii="Verdana" w:hAnsi="Verdana" w:cs="Calibri"/>
          <w:bCs/>
          <w:sz w:val="22"/>
          <w:szCs w:val="22"/>
          <w:lang w:val="es-ES"/>
        </w:rPr>
      </w:pPr>
    </w:p>
    <w:p w14:paraId="66BED4D9" w14:textId="77777777" w:rsidR="005362F6" w:rsidRDefault="005362F6" w:rsidP="005362F6">
      <w:pPr>
        <w:rPr>
          <w:rFonts w:ascii="Verdana" w:hAnsi="Verdana" w:cs="Calibri"/>
          <w:bCs/>
          <w:sz w:val="22"/>
          <w:szCs w:val="22"/>
          <w:lang w:val="es-ES"/>
        </w:rPr>
      </w:pPr>
    </w:p>
    <w:p w14:paraId="41F876FA" w14:textId="32262065" w:rsidR="005362F6" w:rsidRPr="00A145AD" w:rsidRDefault="005362F6" w:rsidP="005362F6">
      <w:pPr>
        <w:jc w:val="both"/>
        <w:rPr>
          <w:rFonts w:ascii="Verdana" w:hAnsi="Verdana" w:cs="Calibri"/>
          <w:bCs/>
          <w:sz w:val="22"/>
          <w:szCs w:val="22"/>
          <w:lang w:val="es-ES"/>
        </w:rPr>
      </w:pPr>
      <w:r>
        <w:rPr>
          <w:rFonts w:ascii="Verdana" w:hAnsi="Verdana" w:cs="Calibri"/>
          <w:b/>
          <w:bCs/>
          <w:sz w:val="22"/>
          <w:szCs w:val="22"/>
          <w:lang w:val="es-ES"/>
        </w:rPr>
        <w:tab/>
      </w:r>
      <w:r>
        <w:rPr>
          <w:rFonts w:ascii="Verdana" w:hAnsi="Verdana" w:cs="Calibri"/>
          <w:b/>
          <w:bCs/>
          <w:sz w:val="22"/>
          <w:szCs w:val="22"/>
          <w:lang w:val="es-ES"/>
        </w:rPr>
        <w:tab/>
      </w:r>
      <w:r>
        <w:rPr>
          <w:rFonts w:ascii="Verdana" w:hAnsi="Verdana" w:cs="Calibri"/>
          <w:b/>
          <w:bCs/>
          <w:sz w:val="22"/>
          <w:szCs w:val="22"/>
          <w:lang w:val="es-ES"/>
        </w:rPr>
        <w:tab/>
      </w:r>
      <w:r>
        <w:rPr>
          <w:rFonts w:ascii="Verdana" w:hAnsi="Verdana" w:cs="Calibri"/>
          <w:b/>
          <w:bCs/>
          <w:sz w:val="22"/>
          <w:szCs w:val="22"/>
          <w:lang w:val="es-ES"/>
        </w:rPr>
        <w:tab/>
      </w:r>
      <w:r>
        <w:rPr>
          <w:rFonts w:ascii="Verdana" w:hAnsi="Verdana" w:cs="Calibri"/>
          <w:b/>
          <w:bCs/>
          <w:sz w:val="22"/>
          <w:szCs w:val="22"/>
          <w:lang w:val="es-ES"/>
        </w:rPr>
        <w:tab/>
      </w:r>
      <w:r w:rsidRPr="00A145AD">
        <w:rPr>
          <w:rFonts w:ascii="Verdana" w:hAnsi="Verdana" w:cs="Calibri"/>
          <w:b/>
          <w:bCs/>
          <w:sz w:val="22"/>
          <w:szCs w:val="22"/>
          <w:lang w:val="es-ES"/>
        </w:rPr>
        <w:t>TENIENDO PRESENTE:</w:t>
      </w:r>
      <w:r w:rsidRPr="00A145AD">
        <w:rPr>
          <w:rFonts w:ascii="Verdana" w:hAnsi="Verdana" w:cs="Calibri"/>
          <w:bCs/>
          <w:sz w:val="22"/>
          <w:szCs w:val="22"/>
          <w:lang w:val="es-ES"/>
        </w:rPr>
        <w:tab/>
        <w:t>Lo dispuesto en el artículo 4°, numerales 7°</w:t>
      </w:r>
      <w:r w:rsidR="00846294">
        <w:rPr>
          <w:rFonts w:ascii="Verdana" w:hAnsi="Verdana" w:cs="Calibri"/>
          <w:bCs/>
          <w:sz w:val="22"/>
          <w:szCs w:val="22"/>
          <w:lang w:val="es-ES"/>
        </w:rPr>
        <w:t>,</w:t>
      </w:r>
      <w:r w:rsidRPr="00A145AD">
        <w:rPr>
          <w:rFonts w:ascii="Verdana" w:hAnsi="Verdana" w:cs="Calibri"/>
          <w:bCs/>
          <w:sz w:val="22"/>
          <w:szCs w:val="22"/>
          <w:lang w:val="es-ES"/>
        </w:rPr>
        <w:t xml:space="preserve"> 8° </w:t>
      </w:r>
      <w:r w:rsidR="005D6EF4">
        <w:rPr>
          <w:rFonts w:ascii="Verdana" w:hAnsi="Verdana" w:cs="Calibri"/>
          <w:bCs/>
          <w:sz w:val="22"/>
          <w:szCs w:val="22"/>
          <w:lang w:val="es-ES"/>
        </w:rPr>
        <w:t xml:space="preserve">y 29 </w:t>
      </w:r>
      <w:r w:rsidRPr="00A145AD">
        <w:rPr>
          <w:rFonts w:ascii="Verdana" w:hAnsi="Verdana" w:cs="Calibri"/>
          <w:bCs/>
          <w:sz w:val="22"/>
          <w:szCs w:val="22"/>
          <w:lang w:val="es-ES"/>
        </w:rPr>
        <w:t xml:space="preserve">del D.F.L. N° 329 de 1979, del Ministerio de Hacienda, que aprueba la Ley Orgánica del Servicio, y la Resolución N° </w:t>
      </w:r>
      <w:r>
        <w:rPr>
          <w:rFonts w:ascii="Verdana" w:hAnsi="Verdana" w:cs="Calibri"/>
          <w:bCs/>
          <w:sz w:val="22"/>
          <w:szCs w:val="22"/>
          <w:lang w:val="es-ES"/>
        </w:rPr>
        <w:t>7</w:t>
      </w:r>
      <w:r w:rsidRPr="00A145AD">
        <w:rPr>
          <w:rFonts w:ascii="Verdana" w:hAnsi="Verdana" w:cs="Calibri"/>
          <w:bCs/>
          <w:sz w:val="22"/>
          <w:szCs w:val="22"/>
          <w:lang w:val="es-ES"/>
        </w:rPr>
        <w:t>, de 20</w:t>
      </w:r>
      <w:r>
        <w:rPr>
          <w:rFonts w:ascii="Verdana" w:hAnsi="Verdana" w:cs="Calibri"/>
          <w:bCs/>
          <w:sz w:val="22"/>
          <w:szCs w:val="22"/>
          <w:lang w:val="es-ES"/>
        </w:rPr>
        <w:t>19, d</w:t>
      </w:r>
      <w:r w:rsidRPr="00A145AD">
        <w:rPr>
          <w:rFonts w:ascii="Verdana" w:hAnsi="Verdana" w:cs="Calibri"/>
          <w:bCs/>
          <w:sz w:val="22"/>
          <w:szCs w:val="22"/>
          <w:lang w:val="es-ES"/>
        </w:rPr>
        <w:t>e la Contraloría General de la República sobre la exención del trámite de Toma de Razón, dicto la siguiente:</w:t>
      </w:r>
    </w:p>
    <w:p w14:paraId="39911A4B" w14:textId="77777777" w:rsidR="005362F6" w:rsidRDefault="005362F6" w:rsidP="00112CFA">
      <w:pPr>
        <w:rPr>
          <w:rFonts w:ascii="Verdana" w:hAnsi="Verdana" w:cs="Calibri"/>
          <w:bCs/>
          <w:sz w:val="22"/>
          <w:szCs w:val="22"/>
          <w:highlight w:val="yellow"/>
          <w:lang w:val="es-ES"/>
        </w:rPr>
      </w:pPr>
    </w:p>
    <w:p w14:paraId="0EAA6FEA" w14:textId="77777777" w:rsidR="005362F6" w:rsidRPr="00A145AD" w:rsidRDefault="005362F6" w:rsidP="005362F6">
      <w:pPr>
        <w:jc w:val="both"/>
        <w:rPr>
          <w:rFonts w:ascii="Verdana" w:hAnsi="Verdana" w:cs="Calibri"/>
          <w:bCs/>
          <w:sz w:val="22"/>
          <w:szCs w:val="22"/>
          <w:highlight w:val="yellow"/>
          <w:lang w:val="es-ES"/>
        </w:rPr>
      </w:pPr>
    </w:p>
    <w:p w14:paraId="3B940E1E" w14:textId="77777777" w:rsidR="005362F6" w:rsidRDefault="005362F6" w:rsidP="005362F6">
      <w:pPr>
        <w:ind w:firstLine="3969"/>
        <w:jc w:val="both"/>
        <w:rPr>
          <w:rFonts w:ascii="Verdana" w:hAnsi="Verdana" w:cs="Calibri"/>
          <w:b/>
          <w:bCs/>
          <w:sz w:val="22"/>
          <w:szCs w:val="22"/>
          <w:lang w:val="es-ES"/>
        </w:rPr>
      </w:pPr>
      <w:r w:rsidRPr="009934CF">
        <w:rPr>
          <w:rFonts w:ascii="Verdana" w:hAnsi="Verdana" w:cs="Calibri"/>
          <w:b/>
          <w:bCs/>
          <w:sz w:val="22"/>
          <w:szCs w:val="22"/>
          <w:lang w:val="es-ES"/>
        </w:rPr>
        <w:t xml:space="preserve">RESOLUCIÓN: </w:t>
      </w:r>
    </w:p>
    <w:p w14:paraId="39EE71E3" w14:textId="77777777" w:rsidR="005362F6" w:rsidRPr="009934CF" w:rsidRDefault="005362F6" w:rsidP="005362F6">
      <w:pPr>
        <w:ind w:firstLine="3969"/>
        <w:jc w:val="both"/>
        <w:rPr>
          <w:rFonts w:ascii="Verdana" w:hAnsi="Verdana" w:cs="Calibri"/>
          <w:b/>
          <w:bCs/>
          <w:sz w:val="22"/>
          <w:szCs w:val="22"/>
          <w:lang w:val="es-ES"/>
        </w:rPr>
      </w:pPr>
    </w:p>
    <w:p w14:paraId="0B93D4E7" w14:textId="77777777" w:rsidR="005362F6" w:rsidRDefault="005362F6" w:rsidP="005362F6">
      <w:pPr>
        <w:jc w:val="both"/>
        <w:rPr>
          <w:rFonts w:ascii="Verdana" w:hAnsi="Verdana" w:cs="Calibri"/>
          <w:bCs/>
          <w:sz w:val="22"/>
          <w:szCs w:val="22"/>
          <w:lang w:val="es-ES"/>
        </w:rPr>
      </w:pPr>
    </w:p>
    <w:p w14:paraId="415B67AD" w14:textId="6BDA95C8" w:rsidR="005362F6" w:rsidRDefault="00175A37" w:rsidP="005D6EF4">
      <w:pPr>
        <w:pStyle w:val="Prrafodelista"/>
        <w:numPr>
          <w:ilvl w:val="0"/>
          <w:numId w:val="2"/>
        </w:numPr>
        <w:rPr>
          <w:rFonts w:cs="Calibri"/>
          <w:bCs/>
          <w:sz w:val="22"/>
          <w:szCs w:val="22"/>
        </w:rPr>
      </w:pPr>
      <w:r>
        <w:rPr>
          <w:rFonts w:cs="Calibri"/>
          <w:b/>
          <w:bCs/>
          <w:sz w:val="22"/>
          <w:szCs w:val="22"/>
        </w:rPr>
        <w:t>DÉJASE</w:t>
      </w:r>
      <w:r>
        <w:rPr>
          <w:rFonts w:cs="Calibri"/>
          <w:bCs/>
          <w:sz w:val="22"/>
          <w:szCs w:val="22"/>
        </w:rPr>
        <w:t xml:space="preserve"> sin efecto</w:t>
      </w:r>
      <w:r w:rsidR="00AE7A5D">
        <w:rPr>
          <w:rFonts w:cs="Calibri"/>
          <w:bCs/>
          <w:sz w:val="22"/>
          <w:szCs w:val="22"/>
        </w:rPr>
        <w:t>,</w:t>
      </w:r>
      <w:r>
        <w:rPr>
          <w:rFonts w:cs="Calibri"/>
          <w:bCs/>
          <w:sz w:val="22"/>
          <w:szCs w:val="22"/>
        </w:rPr>
        <w:t xml:space="preserve"> la obligación de completar </w:t>
      </w:r>
      <w:r w:rsidR="005D6EF4">
        <w:rPr>
          <w:rFonts w:cs="Calibri"/>
          <w:bCs/>
          <w:sz w:val="22"/>
          <w:szCs w:val="22"/>
        </w:rPr>
        <w:t xml:space="preserve">el formulario de </w:t>
      </w:r>
      <w:r>
        <w:rPr>
          <w:rFonts w:cs="Calibri"/>
          <w:bCs/>
          <w:sz w:val="22"/>
          <w:szCs w:val="22"/>
        </w:rPr>
        <w:t xml:space="preserve">Declaración Jurada Conjunta </w:t>
      </w:r>
      <w:r w:rsidR="005D6EF4">
        <w:rPr>
          <w:rFonts w:cs="Calibri"/>
          <w:bCs/>
          <w:sz w:val="22"/>
          <w:szCs w:val="22"/>
        </w:rPr>
        <w:t xml:space="preserve">aprobado por </w:t>
      </w:r>
      <w:r w:rsidR="005D6EF4" w:rsidRPr="005D6EF4">
        <w:rPr>
          <w:rFonts w:cs="Calibri"/>
          <w:bCs/>
          <w:sz w:val="22"/>
          <w:szCs w:val="22"/>
        </w:rPr>
        <w:t>Resolución N° 39 de 04.01.2005, del Director Nacional de Aduanas</w:t>
      </w:r>
      <w:r w:rsidR="005D6EF4">
        <w:rPr>
          <w:rFonts w:cs="Calibri"/>
          <w:bCs/>
          <w:sz w:val="22"/>
          <w:szCs w:val="22"/>
        </w:rPr>
        <w:t>.</w:t>
      </w:r>
      <w:r w:rsidR="005D6EF4" w:rsidRPr="005D6EF4">
        <w:rPr>
          <w:rFonts w:cs="Calibri"/>
          <w:bCs/>
          <w:sz w:val="22"/>
          <w:szCs w:val="22"/>
        </w:rPr>
        <w:t xml:space="preserve"> </w:t>
      </w:r>
      <w:r w:rsidR="005D6EF4">
        <w:rPr>
          <w:rFonts w:cs="Calibri"/>
          <w:bCs/>
          <w:sz w:val="22"/>
          <w:szCs w:val="22"/>
        </w:rPr>
        <w:t>en aquellos puertos o aeropuertos que cuenten con el control aduanero de doble circuito (carril/luz roja – carril/luz verde)</w:t>
      </w:r>
      <w:r>
        <w:rPr>
          <w:rFonts w:cs="Calibri"/>
          <w:bCs/>
          <w:sz w:val="22"/>
          <w:szCs w:val="22"/>
        </w:rPr>
        <w:t>.</w:t>
      </w:r>
    </w:p>
    <w:p w14:paraId="6AA535CE" w14:textId="77777777" w:rsidR="00175A37" w:rsidRPr="00A265D8" w:rsidRDefault="00175A37" w:rsidP="00175A37">
      <w:pPr>
        <w:pStyle w:val="Prrafodelista"/>
        <w:ind w:left="360"/>
        <w:rPr>
          <w:rFonts w:cs="Calibri"/>
          <w:bCs/>
          <w:sz w:val="22"/>
          <w:szCs w:val="22"/>
        </w:rPr>
      </w:pPr>
    </w:p>
    <w:p w14:paraId="5F0E177F" w14:textId="3BB0FD3D" w:rsidR="00175A37" w:rsidRDefault="00175A37" w:rsidP="005362F6">
      <w:pPr>
        <w:numPr>
          <w:ilvl w:val="0"/>
          <w:numId w:val="2"/>
        </w:numPr>
        <w:jc w:val="both"/>
        <w:rPr>
          <w:rFonts w:ascii="Verdana" w:hAnsi="Verdana" w:cs="Calibri"/>
          <w:bCs/>
          <w:sz w:val="22"/>
          <w:szCs w:val="22"/>
          <w:lang w:val="es-ES"/>
        </w:rPr>
      </w:pPr>
      <w:r>
        <w:rPr>
          <w:rFonts w:ascii="Verdana" w:hAnsi="Verdana" w:cs="Calibri"/>
          <w:bCs/>
          <w:sz w:val="22"/>
          <w:szCs w:val="22"/>
          <w:lang w:val="es-ES"/>
        </w:rPr>
        <w:t xml:space="preserve">La presente resolución tendrá efectos y se hará efectiva </w:t>
      </w:r>
      <w:r w:rsidR="005D6EF4">
        <w:rPr>
          <w:rFonts w:ascii="Verdana" w:hAnsi="Verdana" w:cs="Calibri"/>
          <w:bCs/>
          <w:sz w:val="22"/>
          <w:szCs w:val="22"/>
          <w:lang w:val="es-ES"/>
        </w:rPr>
        <w:t>a contar del XX de XXXXXXX de 2019</w:t>
      </w:r>
      <w:r w:rsidR="005362F6" w:rsidRPr="00A265D8">
        <w:rPr>
          <w:rFonts w:ascii="Verdana" w:hAnsi="Verdana" w:cs="Calibri"/>
          <w:bCs/>
          <w:sz w:val="22"/>
          <w:szCs w:val="22"/>
          <w:lang w:val="es-ES"/>
        </w:rPr>
        <w:t>.</w:t>
      </w:r>
      <w:r>
        <w:rPr>
          <w:rFonts w:ascii="Verdana" w:hAnsi="Verdana" w:cs="Calibri"/>
          <w:bCs/>
          <w:sz w:val="22"/>
          <w:szCs w:val="22"/>
          <w:lang w:val="es-ES"/>
        </w:rPr>
        <w:t xml:space="preserve"> </w:t>
      </w:r>
    </w:p>
    <w:p w14:paraId="3AA8400C" w14:textId="77777777" w:rsidR="00175A37" w:rsidRDefault="00175A37" w:rsidP="00175A37">
      <w:pPr>
        <w:pStyle w:val="Prrafodelista"/>
        <w:rPr>
          <w:rFonts w:cs="Calibri"/>
          <w:bCs/>
          <w:sz w:val="22"/>
          <w:szCs w:val="22"/>
        </w:rPr>
      </w:pPr>
    </w:p>
    <w:p w14:paraId="63ADEF30" w14:textId="77777777" w:rsidR="005362F6" w:rsidRPr="00A265D8" w:rsidRDefault="00175A37" w:rsidP="005362F6">
      <w:pPr>
        <w:numPr>
          <w:ilvl w:val="0"/>
          <w:numId w:val="2"/>
        </w:numPr>
        <w:jc w:val="both"/>
        <w:rPr>
          <w:rFonts w:ascii="Verdana" w:hAnsi="Verdana" w:cs="Calibri"/>
          <w:bCs/>
          <w:sz w:val="22"/>
          <w:szCs w:val="22"/>
          <w:lang w:val="es-ES"/>
        </w:rPr>
      </w:pPr>
      <w:r>
        <w:rPr>
          <w:rFonts w:ascii="Verdana" w:hAnsi="Verdana" w:cs="Calibri"/>
          <w:bCs/>
          <w:sz w:val="22"/>
          <w:szCs w:val="22"/>
          <w:lang w:val="es-ES"/>
        </w:rPr>
        <w:t xml:space="preserve">En aquellos terminales que no cuenten con el doble circuito se mantendrá vigente </w:t>
      </w:r>
      <w:r w:rsidR="005D6EF4">
        <w:rPr>
          <w:rFonts w:ascii="Verdana" w:hAnsi="Verdana" w:cs="Calibri"/>
          <w:bCs/>
          <w:sz w:val="22"/>
          <w:szCs w:val="22"/>
          <w:lang w:val="es-ES"/>
        </w:rPr>
        <w:t xml:space="preserve">la obligación de toda persona que ingrese al país, de completar </w:t>
      </w:r>
      <w:r>
        <w:rPr>
          <w:rFonts w:ascii="Verdana" w:hAnsi="Verdana" w:cs="Calibri"/>
          <w:bCs/>
          <w:sz w:val="22"/>
          <w:szCs w:val="22"/>
          <w:lang w:val="es-ES"/>
        </w:rPr>
        <w:t>el formulario de la declaración jurada conjunta.</w:t>
      </w:r>
    </w:p>
    <w:p w14:paraId="22BDF4AF" w14:textId="77777777" w:rsidR="005362F6" w:rsidRPr="00167594" w:rsidRDefault="005362F6" w:rsidP="005362F6">
      <w:pPr>
        <w:ind w:left="360"/>
        <w:jc w:val="both"/>
        <w:rPr>
          <w:rFonts w:ascii="Verdana" w:hAnsi="Verdana" w:cs="Calibri"/>
          <w:bCs/>
          <w:sz w:val="22"/>
          <w:szCs w:val="22"/>
          <w:lang w:val="es-ES"/>
        </w:rPr>
      </w:pPr>
    </w:p>
    <w:p w14:paraId="6C6094CB" w14:textId="77777777" w:rsidR="005362F6" w:rsidRDefault="005362F6" w:rsidP="005362F6">
      <w:pPr>
        <w:jc w:val="both"/>
        <w:rPr>
          <w:rFonts w:ascii="Verdana" w:hAnsi="Verdana" w:cs="Calibri"/>
          <w:b/>
          <w:bCs/>
          <w:sz w:val="22"/>
          <w:szCs w:val="22"/>
        </w:rPr>
      </w:pPr>
    </w:p>
    <w:p w14:paraId="50392AED" w14:textId="77777777" w:rsidR="005362F6" w:rsidRDefault="005362F6" w:rsidP="005362F6">
      <w:pPr>
        <w:jc w:val="both"/>
        <w:rPr>
          <w:rFonts w:ascii="Verdana" w:hAnsi="Verdana" w:cs="Calibri"/>
          <w:b/>
          <w:bCs/>
          <w:sz w:val="22"/>
          <w:szCs w:val="22"/>
        </w:rPr>
      </w:pPr>
    </w:p>
    <w:p w14:paraId="3C30B79D" w14:textId="77777777" w:rsidR="005362F6" w:rsidRDefault="005362F6" w:rsidP="005362F6">
      <w:pPr>
        <w:jc w:val="both"/>
        <w:rPr>
          <w:rFonts w:ascii="Verdana" w:hAnsi="Verdana" w:cs="Calibri"/>
          <w:b/>
          <w:bCs/>
          <w:sz w:val="22"/>
          <w:szCs w:val="22"/>
        </w:rPr>
      </w:pPr>
    </w:p>
    <w:p w14:paraId="3400E2FE" w14:textId="1CE256BC" w:rsidR="007F7A56" w:rsidRPr="009934CF" w:rsidRDefault="007F7A56" w:rsidP="00112CFA">
      <w:pPr>
        <w:jc w:val="both"/>
        <w:rPr>
          <w:rFonts w:ascii="Verdana" w:hAnsi="Verdana" w:cs="Calibri"/>
          <w:b/>
          <w:bCs/>
          <w:sz w:val="22"/>
          <w:szCs w:val="22"/>
        </w:rPr>
      </w:pPr>
      <w:r w:rsidRPr="009934CF">
        <w:rPr>
          <w:rFonts w:ascii="Verdana" w:hAnsi="Verdana" w:cs="Calibri"/>
          <w:b/>
          <w:bCs/>
          <w:sz w:val="22"/>
          <w:szCs w:val="22"/>
        </w:rPr>
        <w:t xml:space="preserve">ANÓTESE, COMUNÍQUESE, Y PUBLÍQUESE EL </w:t>
      </w:r>
      <w:r w:rsidR="005D6EF4">
        <w:rPr>
          <w:rFonts w:ascii="Verdana" w:hAnsi="Verdana" w:cs="Calibri"/>
          <w:b/>
          <w:bCs/>
          <w:sz w:val="22"/>
          <w:szCs w:val="22"/>
        </w:rPr>
        <w:t xml:space="preserve">EXTRACTO EN EL </w:t>
      </w:r>
      <w:r w:rsidRPr="009934CF">
        <w:rPr>
          <w:rFonts w:ascii="Verdana" w:hAnsi="Verdana" w:cs="Calibri"/>
          <w:b/>
          <w:bCs/>
          <w:sz w:val="22"/>
          <w:szCs w:val="22"/>
        </w:rPr>
        <w:t xml:space="preserve">DIARIO OFICIAL </w:t>
      </w:r>
      <w:r w:rsidR="005D6EF4">
        <w:rPr>
          <w:rFonts w:ascii="Verdana" w:hAnsi="Verdana" w:cs="Calibri"/>
          <w:b/>
          <w:bCs/>
          <w:sz w:val="22"/>
          <w:szCs w:val="22"/>
        </w:rPr>
        <w:t xml:space="preserve">E ÍNTEGRAMENTE </w:t>
      </w:r>
      <w:r w:rsidRPr="009934CF">
        <w:rPr>
          <w:rFonts w:ascii="Verdana" w:hAnsi="Verdana" w:cs="Calibri"/>
          <w:b/>
          <w:bCs/>
          <w:sz w:val="22"/>
          <w:szCs w:val="22"/>
        </w:rPr>
        <w:t>EN LA PÁGINA WEB DEL SERVICIO.</w:t>
      </w:r>
    </w:p>
    <w:p w14:paraId="211105C3" w14:textId="77777777" w:rsidR="005362F6" w:rsidRPr="006A41A6" w:rsidRDefault="005362F6" w:rsidP="005362F6">
      <w:pPr>
        <w:jc w:val="both"/>
        <w:rPr>
          <w:rFonts w:ascii="Verdana" w:hAnsi="Verdana" w:cs="Calibri"/>
          <w:b/>
          <w:bCs/>
          <w:sz w:val="18"/>
          <w:szCs w:val="22"/>
        </w:rPr>
      </w:pPr>
    </w:p>
    <w:p w14:paraId="2516DB5D" w14:textId="77777777" w:rsidR="005362F6" w:rsidRDefault="005362F6" w:rsidP="005362F6">
      <w:pPr>
        <w:jc w:val="both"/>
        <w:rPr>
          <w:rFonts w:ascii="Verdana" w:hAnsi="Verdana" w:cs="Calibri"/>
          <w:b/>
          <w:bCs/>
          <w:sz w:val="18"/>
          <w:szCs w:val="20"/>
        </w:rPr>
      </w:pPr>
    </w:p>
    <w:p w14:paraId="78EA4A3C" w14:textId="77777777" w:rsidR="005362F6" w:rsidRDefault="005362F6" w:rsidP="005362F6">
      <w:pPr>
        <w:jc w:val="both"/>
        <w:rPr>
          <w:rFonts w:ascii="Verdana" w:hAnsi="Verdana" w:cs="Calibri"/>
          <w:b/>
          <w:bCs/>
          <w:sz w:val="18"/>
          <w:szCs w:val="20"/>
        </w:rPr>
      </w:pPr>
    </w:p>
    <w:p w14:paraId="63970342" w14:textId="77777777" w:rsidR="005362F6" w:rsidRDefault="005362F6" w:rsidP="005362F6">
      <w:pPr>
        <w:jc w:val="both"/>
        <w:rPr>
          <w:rFonts w:ascii="Verdana" w:hAnsi="Verdana" w:cs="Calibri"/>
          <w:b/>
          <w:bCs/>
          <w:sz w:val="18"/>
          <w:szCs w:val="20"/>
        </w:rPr>
      </w:pPr>
    </w:p>
    <w:p w14:paraId="3364DF15" w14:textId="77777777" w:rsidR="005362F6" w:rsidRDefault="005362F6" w:rsidP="005362F6">
      <w:pPr>
        <w:jc w:val="both"/>
        <w:rPr>
          <w:rFonts w:ascii="Verdana" w:hAnsi="Verdana" w:cs="Calibri"/>
          <w:b/>
          <w:bCs/>
          <w:sz w:val="18"/>
          <w:szCs w:val="20"/>
        </w:rPr>
      </w:pPr>
    </w:p>
    <w:p w14:paraId="3FCEF5E1" w14:textId="77777777" w:rsidR="005362F6" w:rsidRDefault="005362F6" w:rsidP="005362F6">
      <w:pPr>
        <w:jc w:val="both"/>
        <w:rPr>
          <w:rFonts w:ascii="Verdana" w:hAnsi="Verdana" w:cs="Calibri"/>
          <w:b/>
          <w:bCs/>
          <w:sz w:val="18"/>
          <w:szCs w:val="20"/>
        </w:rPr>
      </w:pPr>
    </w:p>
    <w:p w14:paraId="01BB9CFF" w14:textId="77777777" w:rsidR="005362F6" w:rsidRPr="00374783" w:rsidRDefault="005362F6" w:rsidP="005362F6">
      <w:pPr>
        <w:jc w:val="both"/>
        <w:rPr>
          <w:rFonts w:ascii="Verdana" w:hAnsi="Verdana" w:cs="Calibri"/>
          <w:b/>
          <w:bCs/>
          <w:sz w:val="18"/>
          <w:szCs w:val="20"/>
        </w:rPr>
      </w:pPr>
      <w:r w:rsidRPr="00374783">
        <w:rPr>
          <w:rFonts w:ascii="Verdana" w:hAnsi="Verdana" w:cs="Calibri"/>
          <w:b/>
          <w:bCs/>
          <w:sz w:val="18"/>
          <w:szCs w:val="20"/>
        </w:rPr>
        <w:t>//</w:t>
      </w:r>
      <w:r w:rsidR="00AE7A5D">
        <w:rPr>
          <w:rFonts w:ascii="Verdana" w:hAnsi="Verdana" w:cs="Calibri"/>
          <w:b/>
          <w:bCs/>
          <w:sz w:val="18"/>
          <w:szCs w:val="20"/>
        </w:rPr>
        <w:t>/</w:t>
      </w:r>
    </w:p>
    <w:p w14:paraId="15829777" w14:textId="77777777" w:rsidR="005362F6" w:rsidRPr="00374783" w:rsidRDefault="005362F6" w:rsidP="005362F6">
      <w:pPr>
        <w:jc w:val="both"/>
        <w:rPr>
          <w:rFonts w:ascii="Verdana" w:hAnsi="Verdana" w:cs="Calibri"/>
          <w:b/>
          <w:bCs/>
          <w:sz w:val="20"/>
          <w:szCs w:val="22"/>
        </w:rPr>
      </w:pPr>
    </w:p>
    <w:p w14:paraId="4DF965E2" w14:textId="77777777" w:rsidR="005362F6" w:rsidRDefault="005362F6" w:rsidP="005362F6">
      <w:pPr>
        <w:jc w:val="both"/>
        <w:rPr>
          <w:rFonts w:ascii="Verdana" w:hAnsi="Verdana" w:cs="Calibri"/>
          <w:b/>
          <w:bCs/>
          <w:sz w:val="16"/>
          <w:szCs w:val="20"/>
          <w:u w:val="single"/>
        </w:rPr>
      </w:pPr>
      <w:r w:rsidRPr="002F03B1">
        <w:rPr>
          <w:rFonts w:ascii="Verdana" w:hAnsi="Verdana" w:cs="Calibri"/>
          <w:b/>
          <w:bCs/>
          <w:sz w:val="16"/>
          <w:szCs w:val="20"/>
          <w:u w:val="single"/>
        </w:rPr>
        <w:t>Distribución:</w:t>
      </w:r>
    </w:p>
    <w:p w14:paraId="73C65BAD" w14:textId="77777777" w:rsidR="00880177" w:rsidRPr="002F03B1" w:rsidRDefault="00880177" w:rsidP="005362F6">
      <w:pPr>
        <w:jc w:val="both"/>
        <w:rPr>
          <w:rFonts w:ascii="Verdana" w:hAnsi="Verdana" w:cs="Calibri"/>
          <w:b/>
          <w:bCs/>
          <w:sz w:val="16"/>
          <w:szCs w:val="20"/>
          <w:u w:val="single"/>
        </w:rPr>
      </w:pPr>
    </w:p>
    <w:p w14:paraId="1BB7EE1E" w14:textId="77777777" w:rsidR="00880177" w:rsidRDefault="00880177" w:rsidP="005362F6">
      <w:pPr>
        <w:numPr>
          <w:ilvl w:val="0"/>
          <w:numId w:val="1"/>
        </w:numPr>
        <w:jc w:val="both"/>
        <w:rPr>
          <w:rFonts w:ascii="Verdana" w:hAnsi="Verdana" w:cs="Calibri"/>
          <w:bCs/>
          <w:sz w:val="16"/>
          <w:szCs w:val="20"/>
        </w:rPr>
      </w:pPr>
    </w:p>
    <w:p w14:paraId="7A36A885" w14:textId="77777777" w:rsidR="005362F6" w:rsidRPr="002F03B1" w:rsidRDefault="005362F6" w:rsidP="005362F6">
      <w:pPr>
        <w:numPr>
          <w:ilvl w:val="0"/>
          <w:numId w:val="1"/>
        </w:numPr>
        <w:jc w:val="both"/>
        <w:rPr>
          <w:rFonts w:ascii="Verdana" w:hAnsi="Verdana" w:cs="Calibri"/>
          <w:bCs/>
          <w:sz w:val="16"/>
          <w:szCs w:val="20"/>
        </w:rPr>
      </w:pPr>
      <w:r w:rsidRPr="002F03B1">
        <w:rPr>
          <w:rFonts w:ascii="Verdana" w:hAnsi="Verdana" w:cs="Calibri"/>
          <w:bCs/>
          <w:sz w:val="16"/>
          <w:szCs w:val="20"/>
        </w:rPr>
        <w:t>Cámara Aduanera</w:t>
      </w:r>
    </w:p>
    <w:p w14:paraId="1DEBFC4A" w14:textId="77777777" w:rsidR="005362F6" w:rsidRPr="002F03B1" w:rsidRDefault="005362F6" w:rsidP="005362F6">
      <w:pPr>
        <w:numPr>
          <w:ilvl w:val="0"/>
          <w:numId w:val="1"/>
        </w:numPr>
        <w:jc w:val="both"/>
        <w:rPr>
          <w:rFonts w:ascii="Verdana" w:hAnsi="Verdana" w:cs="Calibri"/>
          <w:bCs/>
          <w:sz w:val="16"/>
          <w:szCs w:val="20"/>
        </w:rPr>
      </w:pPr>
      <w:r w:rsidRPr="002F03B1">
        <w:rPr>
          <w:rFonts w:ascii="Verdana" w:hAnsi="Verdana" w:cs="Calibri"/>
          <w:bCs/>
          <w:sz w:val="16"/>
          <w:szCs w:val="20"/>
        </w:rPr>
        <w:t>Anagena</w:t>
      </w:r>
    </w:p>
    <w:p w14:paraId="013A7409" w14:textId="77777777" w:rsidR="00287A9E" w:rsidRDefault="00287A9E" w:rsidP="00287A9E">
      <w:pPr>
        <w:widowControl w:val="0"/>
        <w:autoSpaceDE w:val="0"/>
        <w:autoSpaceDN w:val="0"/>
        <w:adjustRightInd w:val="0"/>
        <w:ind w:left="-2410" w:right="-991" w:firstLine="425"/>
        <w:jc w:val="right"/>
        <w:rPr>
          <w:rFonts w:ascii="Tahoma" w:hAnsi="Tahoma" w:cs="Tahoma"/>
        </w:rPr>
      </w:pPr>
    </w:p>
    <w:sectPr w:rsidR="00287A9E" w:rsidSect="005362F6">
      <w:headerReference w:type="default" r:id="rId8"/>
      <w:footerReference w:type="default" r:id="rId9"/>
      <w:pgSz w:w="12240" w:h="18720" w:code="183"/>
      <w:pgMar w:top="1820" w:right="1467" w:bottom="1417" w:left="1559" w:header="278" w:footer="8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52234" w14:textId="77777777" w:rsidR="00765D77" w:rsidRDefault="00765D77" w:rsidP="009C340E">
      <w:r>
        <w:separator/>
      </w:r>
    </w:p>
  </w:endnote>
  <w:endnote w:type="continuationSeparator" w:id="0">
    <w:p w14:paraId="4D081DA9" w14:textId="77777777" w:rsidR="00765D77" w:rsidRDefault="00765D77"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7EB87" w14:textId="77777777" w:rsidR="009C340E" w:rsidRDefault="00994587"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63653156" wp14:editId="3C22A6C8">
              <wp:simplePos x="0" y="0"/>
              <wp:positionH relativeFrom="column">
                <wp:posOffset>-712173</wp:posOffset>
              </wp:positionH>
              <wp:positionV relativeFrom="paragraph">
                <wp:posOffset>-530225</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2EF791" w14:textId="77777777" w:rsidR="0038036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26DC65EC" w14:textId="77777777" w:rsidR="0038036B" w:rsidRPr="0019094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703EC5F4" w14:textId="77777777" w:rsidR="0038036B" w:rsidRPr="003673F5" w:rsidRDefault="0038036B" w:rsidP="0038036B">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322134541</w:t>
                          </w:r>
                          <w:r w:rsidRPr="00D40B72">
                            <w:rPr>
                              <w:rFonts w:ascii="Tahoma" w:hAnsi="Tahoma" w:cs="Tahoma"/>
                              <w:color w:val="262626" w:themeColor="text1" w:themeTint="D9"/>
                              <w:sz w:val="15"/>
                              <w:szCs w:val="15"/>
                              <w:lang w:val="es-ES"/>
                            </w:rPr>
                            <w:br/>
                            <w:t>www.aduana.cl</w:t>
                          </w:r>
                        </w:p>
                        <w:p w14:paraId="333D1CD3" w14:textId="77777777" w:rsidR="0038036B" w:rsidRPr="003673F5" w:rsidRDefault="0038036B" w:rsidP="0038036B">
                          <w:pPr>
                            <w:rPr>
                              <w:rFonts w:ascii="gobCL" w:hAnsi="gobCL" w:cs="Tahoma"/>
                              <w:b/>
                              <w:color w:val="7F7F7F" w:themeColor="text1" w:themeTint="80"/>
                              <w:sz w:val="15"/>
                              <w:szCs w:val="15"/>
                            </w:rPr>
                          </w:pPr>
                        </w:p>
                        <w:p w14:paraId="4A8795CE" w14:textId="77777777" w:rsidR="00FB7100" w:rsidRPr="000727D8" w:rsidRDefault="00FB7100"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53156" id="_x0000_t202" coordsize="21600,21600" o:spt="202" path="m,l,21600r21600,l21600,xe">
              <v:stroke joinstyle="miter"/>
              <v:path gradientshapeok="t" o:connecttype="rect"/>
            </v:shapetype>
            <v:shape id="Cuadro de texto 11" o:spid="_x0000_s1027" type="#_x0000_t202" style="position:absolute;left:0;text-align:left;margin-left:-56.1pt;margin-top:-41.7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" filled="f" stroked="f">
              <v:textbox>
                <w:txbxContent>
                  <w:p w14:paraId="6A2EF791" w14:textId="77777777" w:rsidR="0038036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26DC65EC" w14:textId="77777777" w:rsidR="0038036B" w:rsidRPr="0019094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703EC5F4" w14:textId="77777777" w:rsidR="0038036B" w:rsidRPr="003673F5" w:rsidRDefault="0038036B" w:rsidP="0038036B">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322134541</w:t>
                    </w:r>
                    <w:r w:rsidRPr="00D40B72">
                      <w:rPr>
                        <w:rFonts w:ascii="Tahoma" w:hAnsi="Tahoma" w:cs="Tahoma"/>
                        <w:color w:val="262626" w:themeColor="text1" w:themeTint="D9"/>
                        <w:sz w:val="15"/>
                        <w:szCs w:val="15"/>
                        <w:lang w:val="es-ES"/>
                      </w:rPr>
                      <w:br/>
                      <w:t>www.aduana.cl</w:t>
                    </w:r>
                  </w:p>
                  <w:p w14:paraId="333D1CD3" w14:textId="77777777" w:rsidR="0038036B" w:rsidRPr="003673F5" w:rsidRDefault="0038036B" w:rsidP="0038036B">
                    <w:pPr>
                      <w:rPr>
                        <w:rFonts w:ascii="gobCL" w:hAnsi="gobCL" w:cs="Tahoma"/>
                        <w:b/>
                        <w:color w:val="7F7F7F" w:themeColor="text1" w:themeTint="80"/>
                        <w:sz w:val="15"/>
                        <w:szCs w:val="15"/>
                      </w:rPr>
                    </w:pPr>
                  </w:p>
                  <w:p w14:paraId="4A8795CE" w14:textId="77777777" w:rsidR="00FB7100" w:rsidRPr="000727D8" w:rsidRDefault="00FB7100" w:rsidP="00287A9E">
                    <w:pPr>
                      <w:ind w:left="1134" w:right="-7229"/>
                      <w:rPr>
                        <w:rFonts w:ascii="gobCL" w:hAnsi="gobCL" w:cs="Tahoma"/>
                        <w:b/>
                        <w:color w:val="7F7F7F" w:themeColor="text1" w:themeTint="80"/>
                        <w:sz w:val="15"/>
                        <w:szCs w:val="15"/>
                      </w:rPr>
                    </w:pPr>
                  </w:p>
                </w:txbxContent>
              </v:textbox>
            </v:shape>
          </w:pict>
        </mc:Fallback>
      </mc:AlternateContent>
    </w:r>
    <w:r w:rsidR="005A4707">
      <w:rPr>
        <w:noProof/>
        <w:lang w:val="es-CL" w:eastAsia="es-CL"/>
      </w:rPr>
      <w:drawing>
        <wp:inline distT="0" distB="0" distL="0" distR="0" wp14:anchorId="186507C6" wp14:editId="76E7E47C">
          <wp:extent cx="648000" cy="101878"/>
          <wp:effectExtent l="0" t="0" r="0" b="0"/>
          <wp:docPr id="12" name="Imagen 1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21932" w14:textId="77777777" w:rsidR="00765D77" w:rsidRDefault="00765D77" w:rsidP="009C340E">
      <w:r>
        <w:separator/>
      </w:r>
    </w:p>
  </w:footnote>
  <w:footnote w:type="continuationSeparator" w:id="0">
    <w:p w14:paraId="7F9C285E" w14:textId="77777777" w:rsidR="00765D77" w:rsidRDefault="00765D77" w:rsidP="009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DC685" w14:textId="77777777" w:rsidR="005C0373" w:rsidRDefault="005C0373" w:rsidP="00287A9E">
    <w:pPr>
      <w:pStyle w:val="Encabezado"/>
      <w:spacing w:line="120" w:lineRule="auto"/>
      <w:ind w:left="-993"/>
    </w:pPr>
    <w:r>
      <w:br/>
    </w:r>
  </w:p>
  <w:p w14:paraId="5B759EED" w14:textId="77777777" w:rsidR="008A1F18" w:rsidRDefault="008A1F18" w:rsidP="00C57414">
    <w:pPr>
      <w:pStyle w:val="Encabezado"/>
      <w:spacing w:line="120" w:lineRule="auto"/>
      <w:ind w:left="-3260"/>
    </w:pPr>
  </w:p>
  <w:p w14:paraId="4A5ED64B" w14:textId="77777777" w:rsidR="005C0373" w:rsidRDefault="00E637B1"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35F9A245" wp14:editId="44D31086">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93553AC" w14:textId="77777777" w:rsidR="0038036B" w:rsidRDefault="0038036B"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4DD7B33E" w14:textId="77777777" w:rsidR="0038036B" w:rsidRPr="00DF42E3" w:rsidRDefault="0038036B" w:rsidP="0038036B">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67042F7B" w14:textId="77777777" w:rsidR="0038036B" w:rsidRPr="00DF42E3" w:rsidRDefault="0038036B" w:rsidP="0038036B">
                          <w:pPr>
                            <w:spacing w:line="180" w:lineRule="exact"/>
                            <w:rPr>
                              <w:rFonts w:ascii="Tahoma" w:hAnsi="Tahoma" w:cs="Tahoma"/>
                              <w:color w:val="000000" w:themeColor="text1"/>
                              <w:sz w:val="15"/>
                              <w:lang w:val="es-ES"/>
                            </w:rPr>
                          </w:pPr>
                        </w:p>
                        <w:p w14:paraId="269E7959" w14:textId="77777777"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9A245"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14:paraId="393553AC" w14:textId="77777777" w:rsidR="0038036B" w:rsidRDefault="0038036B"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4DD7B33E" w14:textId="77777777" w:rsidR="0038036B" w:rsidRPr="00DF42E3" w:rsidRDefault="0038036B" w:rsidP="0038036B">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67042F7B" w14:textId="77777777" w:rsidR="0038036B" w:rsidRPr="00DF42E3" w:rsidRDefault="0038036B" w:rsidP="0038036B">
                    <w:pPr>
                      <w:spacing w:line="180" w:lineRule="exact"/>
                      <w:rPr>
                        <w:rFonts w:ascii="Tahoma" w:hAnsi="Tahoma" w:cs="Tahoma"/>
                        <w:color w:val="000000" w:themeColor="text1"/>
                        <w:sz w:val="15"/>
                        <w:lang w:val="es-ES"/>
                      </w:rPr>
                    </w:pPr>
                  </w:p>
                  <w:p w14:paraId="269E7959" w14:textId="77777777"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sidR="00ED2423">
      <w:rPr>
        <w:noProof/>
        <w:lang w:val="es-CL" w:eastAsia="es-CL"/>
      </w:rPr>
      <w:drawing>
        <wp:inline distT="0" distB="0" distL="0" distR="0" wp14:anchorId="702DCE40" wp14:editId="284E6AD5">
          <wp:extent cx="633563" cy="972000"/>
          <wp:effectExtent l="0" t="0" r="1905" b="0"/>
          <wp:docPr id="8"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55E39"/>
    <w:multiLevelType w:val="hybridMultilevel"/>
    <w:tmpl w:val="1A8E2C32"/>
    <w:lvl w:ilvl="0" w:tplc="FE664F22">
      <w:start w:val="1"/>
      <w:numFmt w:val="upperRoman"/>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4FD27C5D"/>
    <w:multiLevelType w:val="hybridMultilevel"/>
    <w:tmpl w:val="A202C4D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55265432"/>
    <w:multiLevelType w:val="hybridMultilevel"/>
    <w:tmpl w:val="02A60236"/>
    <w:lvl w:ilvl="0" w:tplc="07942DD0">
      <w:start w:val="2"/>
      <w:numFmt w:val="bullet"/>
      <w:lvlText w:val="-"/>
      <w:lvlJc w:val="left"/>
      <w:pPr>
        <w:ind w:left="720" w:hanging="360"/>
      </w:pPr>
      <w:rPr>
        <w:rFonts w:ascii="Verdana" w:eastAsia="Times New Roman" w:hAnsi="Verdana"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2BE2"/>
    <w:rsid w:val="00015823"/>
    <w:rsid w:val="00023D21"/>
    <w:rsid w:val="00052F83"/>
    <w:rsid w:val="00053EBE"/>
    <w:rsid w:val="000727D8"/>
    <w:rsid w:val="000823B7"/>
    <w:rsid w:val="00096404"/>
    <w:rsid w:val="000C049C"/>
    <w:rsid w:val="000D3B4E"/>
    <w:rsid w:val="000E0A86"/>
    <w:rsid w:val="000E2D74"/>
    <w:rsid w:val="000E6F0C"/>
    <w:rsid w:val="000F35E7"/>
    <w:rsid w:val="00112CFA"/>
    <w:rsid w:val="00146675"/>
    <w:rsid w:val="00146681"/>
    <w:rsid w:val="0015395A"/>
    <w:rsid w:val="001620E5"/>
    <w:rsid w:val="00175A37"/>
    <w:rsid w:val="00186BC5"/>
    <w:rsid w:val="0019094B"/>
    <w:rsid w:val="001B354E"/>
    <w:rsid w:val="001E0E73"/>
    <w:rsid w:val="00204079"/>
    <w:rsid w:val="00234D34"/>
    <w:rsid w:val="00251DA6"/>
    <w:rsid w:val="00263637"/>
    <w:rsid w:val="002841B0"/>
    <w:rsid w:val="00286AEB"/>
    <w:rsid w:val="00287A9E"/>
    <w:rsid w:val="00290C00"/>
    <w:rsid w:val="002A7F39"/>
    <w:rsid w:val="002D3545"/>
    <w:rsid w:val="00305938"/>
    <w:rsid w:val="003159A2"/>
    <w:rsid w:val="003441F3"/>
    <w:rsid w:val="003673F5"/>
    <w:rsid w:val="0038036B"/>
    <w:rsid w:val="003A1DA5"/>
    <w:rsid w:val="003A23B9"/>
    <w:rsid w:val="003A3DAA"/>
    <w:rsid w:val="003E2C1A"/>
    <w:rsid w:val="0043300B"/>
    <w:rsid w:val="0044483B"/>
    <w:rsid w:val="00453CC3"/>
    <w:rsid w:val="00465553"/>
    <w:rsid w:val="00485870"/>
    <w:rsid w:val="00494D66"/>
    <w:rsid w:val="00495B22"/>
    <w:rsid w:val="004B2B6C"/>
    <w:rsid w:val="004D1CD8"/>
    <w:rsid w:val="004D27A3"/>
    <w:rsid w:val="0051688E"/>
    <w:rsid w:val="00517F4D"/>
    <w:rsid w:val="00522BAC"/>
    <w:rsid w:val="00527BF2"/>
    <w:rsid w:val="005362F6"/>
    <w:rsid w:val="00540297"/>
    <w:rsid w:val="00557CA9"/>
    <w:rsid w:val="00577332"/>
    <w:rsid w:val="005936E6"/>
    <w:rsid w:val="005A4707"/>
    <w:rsid w:val="005C0373"/>
    <w:rsid w:val="005D6EF4"/>
    <w:rsid w:val="005E371D"/>
    <w:rsid w:val="006130E9"/>
    <w:rsid w:val="00640657"/>
    <w:rsid w:val="00650BBE"/>
    <w:rsid w:val="00660644"/>
    <w:rsid w:val="0067218B"/>
    <w:rsid w:val="00675895"/>
    <w:rsid w:val="00684164"/>
    <w:rsid w:val="006A7C90"/>
    <w:rsid w:val="006B3EE0"/>
    <w:rsid w:val="006F679F"/>
    <w:rsid w:val="006F7CCD"/>
    <w:rsid w:val="00725BDD"/>
    <w:rsid w:val="00734042"/>
    <w:rsid w:val="00765D77"/>
    <w:rsid w:val="00786F6B"/>
    <w:rsid w:val="00793D3D"/>
    <w:rsid w:val="007A1EF9"/>
    <w:rsid w:val="007B01CD"/>
    <w:rsid w:val="007B4C77"/>
    <w:rsid w:val="007C603B"/>
    <w:rsid w:val="007D0D8A"/>
    <w:rsid w:val="007F2335"/>
    <w:rsid w:val="007F7A56"/>
    <w:rsid w:val="00807A8C"/>
    <w:rsid w:val="00815F50"/>
    <w:rsid w:val="008213A2"/>
    <w:rsid w:val="00840338"/>
    <w:rsid w:val="00846294"/>
    <w:rsid w:val="00847A0F"/>
    <w:rsid w:val="00851EEE"/>
    <w:rsid w:val="00865790"/>
    <w:rsid w:val="00870080"/>
    <w:rsid w:val="00872065"/>
    <w:rsid w:val="00880177"/>
    <w:rsid w:val="008A1F18"/>
    <w:rsid w:val="008A7D90"/>
    <w:rsid w:val="008B1164"/>
    <w:rsid w:val="008C04E1"/>
    <w:rsid w:val="008C3277"/>
    <w:rsid w:val="008C6A67"/>
    <w:rsid w:val="008D50AC"/>
    <w:rsid w:val="008D6C30"/>
    <w:rsid w:val="008E2A09"/>
    <w:rsid w:val="008F3D47"/>
    <w:rsid w:val="008F5AF2"/>
    <w:rsid w:val="009119D0"/>
    <w:rsid w:val="00924E67"/>
    <w:rsid w:val="00926D64"/>
    <w:rsid w:val="00940F98"/>
    <w:rsid w:val="00941511"/>
    <w:rsid w:val="0095738B"/>
    <w:rsid w:val="0096217E"/>
    <w:rsid w:val="009706FD"/>
    <w:rsid w:val="0098297C"/>
    <w:rsid w:val="009848C3"/>
    <w:rsid w:val="00994587"/>
    <w:rsid w:val="009952FB"/>
    <w:rsid w:val="009A1EE2"/>
    <w:rsid w:val="009C340E"/>
    <w:rsid w:val="009F0C41"/>
    <w:rsid w:val="00A25041"/>
    <w:rsid w:val="00A265D8"/>
    <w:rsid w:val="00A30785"/>
    <w:rsid w:val="00A66C9C"/>
    <w:rsid w:val="00A83DDE"/>
    <w:rsid w:val="00AA4B65"/>
    <w:rsid w:val="00AA7706"/>
    <w:rsid w:val="00AB279E"/>
    <w:rsid w:val="00AC098A"/>
    <w:rsid w:val="00AC1C4A"/>
    <w:rsid w:val="00AD1E08"/>
    <w:rsid w:val="00AE4D1F"/>
    <w:rsid w:val="00AE7A5D"/>
    <w:rsid w:val="00AF17EA"/>
    <w:rsid w:val="00AF2C4C"/>
    <w:rsid w:val="00AF5304"/>
    <w:rsid w:val="00B537C2"/>
    <w:rsid w:val="00BA2901"/>
    <w:rsid w:val="00BB5299"/>
    <w:rsid w:val="00BB7E3F"/>
    <w:rsid w:val="00BC2D8D"/>
    <w:rsid w:val="00BC4353"/>
    <w:rsid w:val="00BE053F"/>
    <w:rsid w:val="00BE0A2D"/>
    <w:rsid w:val="00BF5FFD"/>
    <w:rsid w:val="00C06B46"/>
    <w:rsid w:val="00C336C9"/>
    <w:rsid w:val="00C57414"/>
    <w:rsid w:val="00C72A94"/>
    <w:rsid w:val="00C77BCD"/>
    <w:rsid w:val="00C912DE"/>
    <w:rsid w:val="00CB64E2"/>
    <w:rsid w:val="00CC04B1"/>
    <w:rsid w:val="00CE1FC3"/>
    <w:rsid w:val="00CF68AF"/>
    <w:rsid w:val="00D137AF"/>
    <w:rsid w:val="00D15398"/>
    <w:rsid w:val="00D40B72"/>
    <w:rsid w:val="00D44DD8"/>
    <w:rsid w:val="00D5489F"/>
    <w:rsid w:val="00D7261A"/>
    <w:rsid w:val="00D732B0"/>
    <w:rsid w:val="00DB065C"/>
    <w:rsid w:val="00DC7B01"/>
    <w:rsid w:val="00DD635A"/>
    <w:rsid w:val="00DF42E3"/>
    <w:rsid w:val="00E038E0"/>
    <w:rsid w:val="00E333DA"/>
    <w:rsid w:val="00E45C37"/>
    <w:rsid w:val="00E52854"/>
    <w:rsid w:val="00E637B1"/>
    <w:rsid w:val="00E92F97"/>
    <w:rsid w:val="00EA18D7"/>
    <w:rsid w:val="00EC2297"/>
    <w:rsid w:val="00EC5C63"/>
    <w:rsid w:val="00ED2423"/>
    <w:rsid w:val="00ED3995"/>
    <w:rsid w:val="00ED5D2F"/>
    <w:rsid w:val="00EE0741"/>
    <w:rsid w:val="00EF597C"/>
    <w:rsid w:val="00EF73EA"/>
    <w:rsid w:val="00F0694C"/>
    <w:rsid w:val="00F32E61"/>
    <w:rsid w:val="00F42EA7"/>
    <w:rsid w:val="00F64F18"/>
    <w:rsid w:val="00F83263"/>
    <w:rsid w:val="00FB1BD5"/>
    <w:rsid w:val="00FB7100"/>
    <w:rsid w:val="00FC1203"/>
    <w:rsid w:val="00FD64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_"/>
  <w14:docId w14:val="57148B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Prrafodelista">
    <w:name w:val="List Paragraph"/>
    <w:basedOn w:val="Normal"/>
    <w:uiPriority w:val="34"/>
    <w:qFormat/>
    <w:rsid w:val="005362F6"/>
    <w:pPr>
      <w:suppressAutoHyphens/>
      <w:spacing w:after="120"/>
      <w:ind w:left="720"/>
      <w:contextualSpacing/>
      <w:jc w:val="both"/>
    </w:pPr>
    <w:rPr>
      <w:rFonts w:ascii="Verdana" w:eastAsia="Times New Roman" w:hAnsi="Verdana" w:cs="Times New Roman"/>
      <w:sz w:val="20"/>
      <w:lang w:val="es-ES" w:eastAsia="ar-SA"/>
    </w:rPr>
  </w:style>
  <w:style w:type="character" w:styleId="Refdecomentario">
    <w:name w:val="annotation reference"/>
    <w:rsid w:val="005362F6"/>
    <w:rPr>
      <w:sz w:val="16"/>
      <w:szCs w:val="16"/>
    </w:rPr>
  </w:style>
  <w:style w:type="paragraph" w:styleId="Textocomentario">
    <w:name w:val="annotation text"/>
    <w:basedOn w:val="Normal"/>
    <w:link w:val="TextocomentarioCar"/>
    <w:rsid w:val="005362F6"/>
    <w:rPr>
      <w:rFonts w:ascii="Times New Roman" w:eastAsia="Times New Roman" w:hAnsi="Times New Roman" w:cs="Times New Roman"/>
      <w:sz w:val="20"/>
      <w:szCs w:val="20"/>
      <w:lang w:val="es-CL" w:eastAsia="es-ES_tradnl"/>
    </w:rPr>
  </w:style>
  <w:style w:type="character" w:customStyle="1" w:styleId="TextocomentarioCar">
    <w:name w:val="Texto comentario Car"/>
    <w:basedOn w:val="Fuentedeprrafopredeter"/>
    <w:link w:val="Textocomentario"/>
    <w:rsid w:val="005362F6"/>
    <w:rPr>
      <w:rFonts w:ascii="Times New Roman" w:eastAsia="Times New Roman" w:hAnsi="Times New Roman" w:cs="Times New Roman"/>
      <w:sz w:val="20"/>
      <w:szCs w:val="20"/>
      <w:lang w:val="es-CL" w:eastAsia="es-ES_tradnl"/>
    </w:rPr>
  </w:style>
  <w:style w:type="paragraph" w:styleId="Textodeglobo">
    <w:name w:val="Balloon Text"/>
    <w:basedOn w:val="Normal"/>
    <w:link w:val="TextodegloboCar"/>
    <w:uiPriority w:val="99"/>
    <w:semiHidden/>
    <w:unhideWhenUsed/>
    <w:rsid w:val="005362F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62F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C06B46"/>
    <w:rPr>
      <w:rFonts w:asciiTheme="minorHAnsi" w:eastAsiaTheme="minorHAnsi" w:hAnsiTheme="minorHAnsi" w:cstheme="minorBidi"/>
      <w:b/>
      <w:bCs/>
      <w:lang w:val="es-ES_tradnl" w:eastAsia="en-US"/>
    </w:rPr>
  </w:style>
  <w:style w:type="character" w:customStyle="1" w:styleId="AsuntodelcomentarioCar">
    <w:name w:val="Asunto del comentario Car"/>
    <w:basedOn w:val="TextocomentarioCar"/>
    <w:link w:val="Asuntodelcomentario"/>
    <w:uiPriority w:val="99"/>
    <w:semiHidden/>
    <w:rsid w:val="00C06B46"/>
    <w:rPr>
      <w:rFonts w:ascii="Times New Roman" w:eastAsia="Times New Roman" w:hAnsi="Times New Roman" w:cs="Times New Roman"/>
      <w:b/>
      <w:bCs/>
      <w:sz w:val="20"/>
      <w:szCs w:val="20"/>
      <w:lang w:val="es-CL" w:eastAsia="es-ES_tradnl"/>
    </w:rPr>
  </w:style>
  <w:style w:type="paragraph" w:styleId="HTMLconformatoprevio">
    <w:name w:val="HTML Preformatted"/>
    <w:basedOn w:val="Normal"/>
    <w:link w:val="HTMLconformatoprevioCar"/>
    <w:uiPriority w:val="99"/>
    <w:unhideWhenUsed/>
    <w:rsid w:val="0011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rsid w:val="00112CFA"/>
    <w:rPr>
      <w:rFonts w:ascii="Courier New" w:eastAsia="Times New Roman" w:hAnsi="Courier New" w:cs="Courier New"/>
      <w:sz w:val="20"/>
      <w:szCs w:val="20"/>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06643319">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9352E-3CA8-4D45-82C4-DD2468C7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6058</Characters>
  <Application>Microsoft Office Word</Application>
  <DocSecurity>0</DocSecurity>
  <Lines>50</Lines>
  <Paragraphs>14</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Mauricio Bustos Zarate</cp:lastModifiedBy>
  <cp:revision>2</cp:revision>
  <cp:lastPrinted>2019-07-22T20:43:00Z</cp:lastPrinted>
  <dcterms:created xsi:type="dcterms:W3CDTF">2019-08-02T20:09:00Z</dcterms:created>
  <dcterms:modified xsi:type="dcterms:W3CDTF">2019-08-02T20:09:00Z</dcterms:modified>
</cp:coreProperties>
</file>