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A2" w:rsidRPr="00C17132" w:rsidRDefault="00A82962" w:rsidP="00C17132">
      <w:pPr>
        <w:jc w:val="center"/>
        <w:rPr>
          <w:b/>
          <w:sz w:val="28"/>
          <w:szCs w:val="28"/>
          <w:u w:val="single"/>
        </w:rPr>
      </w:pPr>
      <w:bookmarkStart w:id="0" w:name="_GoBack"/>
      <w:bookmarkEnd w:id="0"/>
      <w:r w:rsidRPr="00C17132">
        <w:rPr>
          <w:b/>
          <w:sz w:val="28"/>
          <w:szCs w:val="28"/>
          <w:u w:val="single"/>
        </w:rPr>
        <w:t>ACLARACIONES Y OBSERVACIONES A LA RESOLUCION DEL DUTY FREE</w:t>
      </w:r>
    </w:p>
    <w:p w:rsidR="00A82962" w:rsidRDefault="00A82962">
      <w:pPr>
        <w:rPr>
          <w:rFonts w:ascii="Tahoma" w:hAnsi="Tahoma" w:cs="Tahoma"/>
          <w:b/>
        </w:rPr>
      </w:pPr>
    </w:p>
    <w:p w:rsidR="00C17132" w:rsidRPr="00A82962" w:rsidRDefault="00C17132">
      <w:pPr>
        <w:rPr>
          <w:rFonts w:ascii="Tahoma" w:hAnsi="Tahoma" w:cs="Tahoma"/>
          <w:b/>
        </w:rPr>
      </w:pPr>
    </w:p>
    <w:p w:rsidR="00A82962" w:rsidRDefault="00A82962">
      <w:r w:rsidRPr="00A82962">
        <w:rPr>
          <w:rFonts w:ascii="Tahoma" w:hAnsi="Tahoma" w:cs="Tahoma"/>
          <w:b/>
        </w:rPr>
        <w:t>ARTICULO 9.-</w:t>
      </w:r>
      <w:r>
        <w:t xml:space="preserve"> </w:t>
      </w:r>
      <w:r w:rsidRPr="008F1AC0">
        <w:rPr>
          <w:rFonts w:ascii="Tahoma" w:hAnsi="Tahoma" w:cs="Tahoma"/>
          <w:b/>
        </w:rPr>
        <w:t>INGRESO DE LAS MERCANCIAS A LAS TIENDAS DE VENTA</w:t>
      </w:r>
    </w:p>
    <w:p w:rsidR="00A82962" w:rsidRDefault="00A82962"/>
    <w:p w:rsidR="00A82962" w:rsidRPr="008F1AC0" w:rsidRDefault="00A82962" w:rsidP="00A82962">
      <w:pPr>
        <w:ind w:left="1410" w:hanging="705"/>
        <w:jc w:val="both"/>
        <w:rPr>
          <w:rFonts w:ascii="Tahoma" w:hAnsi="Tahoma" w:cs="Tahoma"/>
        </w:rPr>
      </w:pPr>
      <w:r w:rsidRPr="008F1AC0">
        <w:rPr>
          <w:rFonts w:ascii="Tahoma" w:hAnsi="Tahoma" w:cs="Tahoma"/>
          <w:b/>
        </w:rPr>
        <w:t>9.2</w:t>
      </w:r>
      <w:r w:rsidRPr="008F1AC0">
        <w:rPr>
          <w:rFonts w:ascii="Tahoma" w:hAnsi="Tahoma" w:cs="Tahoma"/>
        </w:rPr>
        <w:tab/>
      </w:r>
      <w:r>
        <w:rPr>
          <w:rFonts w:ascii="Tahoma" w:hAnsi="Tahoma" w:cs="Tahoma"/>
        </w:rPr>
        <w:tab/>
        <w:t>E</w:t>
      </w:r>
      <w:r w:rsidRPr="008F1AC0">
        <w:rPr>
          <w:rFonts w:ascii="Tahoma" w:hAnsi="Tahoma" w:cs="Tahoma"/>
        </w:rPr>
        <w:t xml:space="preserve">n el evento que las mercancías retornen desde la (s) tienda (s) de venta hacia la Bodega Duty Free, deberán reingresar con otro estado que no signifique un aumento del stock original, dado que la mercancía devuelta tiene una condición distinta, ya sea para su destrucción o devolución al extranjero, las que deberán permanecer separadas y perfectamente identificables de aquellas susceptibles de ser comercializadas.  </w:t>
      </w:r>
      <w:r w:rsidRPr="00A82962">
        <w:rPr>
          <w:rFonts w:ascii="Tahoma" w:hAnsi="Tahoma" w:cs="Tahoma"/>
          <w:highlight w:val="yellow"/>
        </w:rPr>
        <w:t>Para el efecto anterior,</w:t>
      </w:r>
      <w:r w:rsidRPr="00A82962">
        <w:rPr>
          <w:rFonts w:ascii="Tahoma" w:hAnsi="Tahoma" w:cs="Tahoma"/>
          <w:color w:val="FF0000"/>
          <w:highlight w:val="yellow"/>
        </w:rPr>
        <w:t xml:space="preserve"> </w:t>
      </w:r>
      <w:r w:rsidRPr="00A82962">
        <w:rPr>
          <w:rFonts w:ascii="Tahoma" w:hAnsi="Tahoma" w:cs="Tahoma"/>
          <w:highlight w:val="yellow"/>
        </w:rPr>
        <w:t xml:space="preserve">deberá presentarse una solicitud en que se individualicen las mercancías </w:t>
      </w:r>
      <w:r w:rsidR="00B57E10" w:rsidRPr="00A82962">
        <w:rPr>
          <w:rFonts w:ascii="Tahoma" w:hAnsi="Tahoma" w:cs="Tahoma"/>
          <w:highlight w:val="yellow"/>
        </w:rPr>
        <w:t>y los</w:t>
      </w:r>
      <w:r w:rsidRPr="00A82962">
        <w:rPr>
          <w:rFonts w:ascii="Tahoma" w:hAnsi="Tahoma" w:cs="Tahoma"/>
          <w:highlight w:val="yellow"/>
        </w:rPr>
        <w:t xml:space="preserve"> motivos que lo justifiquen y solo una vez autorizada por Aduana podrá volver a bodega.</w:t>
      </w:r>
    </w:p>
    <w:p w:rsidR="00A82962" w:rsidRDefault="00A82962"/>
    <w:p w:rsidR="00A82962" w:rsidRDefault="00B57E10">
      <w:r>
        <w:t xml:space="preserve">** </w:t>
      </w:r>
      <w:r w:rsidR="00A82962">
        <w:t>Aclaración y Pregunta:</w:t>
      </w:r>
    </w:p>
    <w:p w:rsidR="00A82962" w:rsidRDefault="00A82962">
      <w:r>
        <w:t xml:space="preserve">En ocasiones por cambio de implantación en tiendas o por finalización de una oferta trimestral, las tiendas hacen devolución de mercancía a bodega para que esta se quede almacenada en la bodega y la condición de esta mercancía es apta y debe ser ingresada al stock de la bodega como mercancía en firme y apta para su posterior envío a tiendas cuando lo vuelvan a necesitar.  Es un movimiento normal entre centros. </w:t>
      </w:r>
    </w:p>
    <w:p w:rsidR="00A82962" w:rsidRDefault="00A82962">
      <w:r>
        <w:t xml:space="preserve">Igualmente, no se entiende muy bien el párrafo destacado, </w:t>
      </w:r>
      <w:r w:rsidR="00C17132">
        <w:t>¿A</w:t>
      </w:r>
      <w:r>
        <w:t xml:space="preserve"> qué se refiere con que una vez autorizada la mercancía podrá volver a bodega?</w:t>
      </w:r>
    </w:p>
    <w:p w:rsidR="00A82962" w:rsidRDefault="00A82962"/>
    <w:p w:rsidR="00A82962" w:rsidRPr="006A58B7" w:rsidRDefault="00C17132" w:rsidP="00C17132">
      <w:pPr>
        <w:ind w:left="1800" w:hanging="1800"/>
        <w:jc w:val="both"/>
        <w:rPr>
          <w:rFonts w:ascii="Tahoma" w:hAnsi="Tahoma" w:cs="Tahoma"/>
          <w:b/>
        </w:rPr>
      </w:pPr>
      <w:r>
        <w:rPr>
          <w:rFonts w:ascii="Tahoma" w:hAnsi="Tahoma" w:cs="Tahoma"/>
          <w:b/>
        </w:rPr>
        <w:t xml:space="preserve">ARTICULO </w:t>
      </w:r>
      <w:r w:rsidR="00A82962" w:rsidRPr="000060B2">
        <w:rPr>
          <w:rFonts w:ascii="Tahoma" w:hAnsi="Tahoma" w:cs="Tahoma"/>
          <w:b/>
        </w:rPr>
        <w:t>1</w:t>
      </w:r>
      <w:r w:rsidR="00A82962">
        <w:rPr>
          <w:rFonts w:ascii="Tahoma" w:hAnsi="Tahoma" w:cs="Tahoma"/>
          <w:b/>
        </w:rPr>
        <w:t>4</w:t>
      </w:r>
      <w:r w:rsidR="00A82962" w:rsidRPr="000060B2">
        <w:rPr>
          <w:rFonts w:ascii="Tahoma" w:hAnsi="Tahoma" w:cs="Tahoma"/>
          <w:b/>
        </w:rPr>
        <w:t>.</w:t>
      </w:r>
      <w:r w:rsidR="00A82962" w:rsidRPr="00107009">
        <w:rPr>
          <w:rFonts w:ascii="Tahoma" w:hAnsi="Tahoma" w:cs="Tahoma"/>
          <w:color w:val="FF0000"/>
        </w:rPr>
        <w:tab/>
      </w:r>
      <w:r w:rsidR="00A82962" w:rsidRPr="00A82962">
        <w:rPr>
          <w:rFonts w:ascii="Tahoma" w:hAnsi="Tahoma" w:cs="Tahoma"/>
          <w:b/>
        </w:rPr>
        <w:t xml:space="preserve">OBLIGACIÓN DEL CONCESIONARIO DE ENTREGAR INFORMACIÓN </w:t>
      </w:r>
      <w:r w:rsidRPr="00A82962">
        <w:rPr>
          <w:rFonts w:ascii="Tahoma" w:hAnsi="Tahoma" w:cs="Tahoma"/>
          <w:b/>
        </w:rPr>
        <w:t>A ADUANAS</w:t>
      </w:r>
      <w:r w:rsidR="00A82962" w:rsidRPr="00A82962">
        <w:rPr>
          <w:rFonts w:ascii="Tahoma" w:hAnsi="Tahoma" w:cs="Tahoma"/>
          <w:b/>
        </w:rPr>
        <w:t>.</w:t>
      </w:r>
    </w:p>
    <w:p w:rsidR="00C17132" w:rsidRPr="006A58B7" w:rsidRDefault="00C17132" w:rsidP="00C17132">
      <w:pPr>
        <w:pStyle w:val="Prrafodelista"/>
        <w:numPr>
          <w:ilvl w:val="2"/>
          <w:numId w:val="1"/>
        </w:numPr>
        <w:jc w:val="both"/>
        <w:rPr>
          <w:rFonts w:ascii="Tahoma" w:hAnsi="Tahoma" w:cs="Tahoma"/>
          <w:sz w:val="22"/>
          <w:szCs w:val="22"/>
          <w:lang w:val="es-CL"/>
        </w:rPr>
      </w:pPr>
      <w:r w:rsidRPr="006A58B7">
        <w:rPr>
          <w:rFonts w:ascii="Tahoma" w:hAnsi="Tahoma" w:cs="Tahoma"/>
          <w:sz w:val="22"/>
          <w:szCs w:val="22"/>
          <w:lang w:val="es-CL"/>
        </w:rPr>
        <w:t>Entregar la información para la aprobación de los sistemas informáticos por parte de Aduanas.</w:t>
      </w:r>
    </w:p>
    <w:p w:rsidR="00A82962" w:rsidRDefault="00A82962" w:rsidP="00A82962">
      <w:pPr>
        <w:jc w:val="both"/>
        <w:rPr>
          <w:rFonts w:ascii="Tahoma" w:hAnsi="Tahoma" w:cs="Tahoma"/>
        </w:rPr>
      </w:pPr>
    </w:p>
    <w:p w:rsidR="00C17132" w:rsidRPr="00C17132" w:rsidRDefault="00B57E10" w:rsidP="00A82962">
      <w:pPr>
        <w:jc w:val="both"/>
      </w:pPr>
      <w:r>
        <w:t xml:space="preserve">** </w:t>
      </w:r>
      <w:r w:rsidR="00C17132" w:rsidRPr="00C17132">
        <w:t>Pregunta</w:t>
      </w:r>
    </w:p>
    <w:p w:rsidR="00C17132" w:rsidRDefault="00C17132" w:rsidP="00A82962">
      <w:pPr>
        <w:jc w:val="both"/>
        <w:rPr>
          <w:rFonts w:ascii="Tahoma" w:hAnsi="Tahoma" w:cs="Tahoma"/>
        </w:rPr>
      </w:pPr>
      <w:r>
        <w:t>¿</w:t>
      </w:r>
      <w:r w:rsidRPr="00C17132">
        <w:t xml:space="preserve">Cuándo </w:t>
      </w:r>
      <w:r>
        <w:t xml:space="preserve">y cómo </w:t>
      </w:r>
      <w:r w:rsidRPr="00C17132">
        <w:t>debería hacerse esta entrega</w:t>
      </w:r>
      <w:r>
        <w:t xml:space="preserve"> para la aprobación</w:t>
      </w:r>
      <w:r>
        <w:rPr>
          <w:rFonts w:ascii="Tahoma" w:hAnsi="Tahoma" w:cs="Tahoma"/>
        </w:rPr>
        <w:t xml:space="preserve">? </w:t>
      </w:r>
    </w:p>
    <w:p w:rsidR="00C17132" w:rsidRDefault="00C17132" w:rsidP="00A82962">
      <w:pPr>
        <w:jc w:val="both"/>
        <w:rPr>
          <w:rFonts w:ascii="Tahoma" w:hAnsi="Tahoma" w:cs="Tahoma"/>
        </w:rPr>
      </w:pPr>
    </w:p>
    <w:p w:rsidR="00C17132" w:rsidRDefault="00C17132" w:rsidP="00A82962">
      <w:pPr>
        <w:jc w:val="both"/>
        <w:rPr>
          <w:rFonts w:ascii="Tahoma" w:hAnsi="Tahoma" w:cs="Tahoma"/>
        </w:rPr>
      </w:pPr>
    </w:p>
    <w:p w:rsidR="00C17132" w:rsidRDefault="00C17132" w:rsidP="00A82962">
      <w:pPr>
        <w:jc w:val="both"/>
        <w:rPr>
          <w:rFonts w:ascii="Tahoma" w:hAnsi="Tahoma" w:cs="Tahoma"/>
        </w:rPr>
      </w:pPr>
    </w:p>
    <w:p w:rsidR="00C17132" w:rsidRDefault="00C17132" w:rsidP="00A82962">
      <w:pPr>
        <w:jc w:val="both"/>
        <w:rPr>
          <w:rFonts w:ascii="Tahoma" w:hAnsi="Tahoma" w:cs="Tahoma"/>
        </w:rPr>
      </w:pPr>
    </w:p>
    <w:p w:rsidR="00C17132" w:rsidRPr="006A58B7" w:rsidRDefault="00B57E10" w:rsidP="00A82962">
      <w:pPr>
        <w:jc w:val="both"/>
        <w:rPr>
          <w:rFonts w:ascii="Tahoma" w:hAnsi="Tahoma" w:cs="Tahoma"/>
        </w:rPr>
      </w:pPr>
      <w:r>
        <w:rPr>
          <w:rFonts w:ascii="Tahoma" w:hAnsi="Tahoma" w:cs="Tahoma"/>
        </w:rPr>
        <w:lastRenderedPageBreak/>
        <w:t>Igualmente,</w:t>
      </w:r>
      <w:r w:rsidR="00C17132">
        <w:rPr>
          <w:rFonts w:ascii="Tahoma" w:hAnsi="Tahoma" w:cs="Tahoma"/>
        </w:rPr>
        <w:t xml:space="preserve"> para este otro punto: </w:t>
      </w:r>
    </w:p>
    <w:p w:rsidR="00C17132" w:rsidRPr="006A58B7" w:rsidRDefault="00C17132" w:rsidP="00C17132">
      <w:pPr>
        <w:pStyle w:val="Prrafodelista"/>
        <w:numPr>
          <w:ilvl w:val="2"/>
          <w:numId w:val="1"/>
        </w:numPr>
        <w:jc w:val="both"/>
        <w:rPr>
          <w:rFonts w:ascii="Tahoma" w:hAnsi="Tahoma" w:cs="Tahoma"/>
          <w:sz w:val="22"/>
          <w:szCs w:val="22"/>
          <w:lang w:val="es-CL"/>
        </w:rPr>
      </w:pPr>
      <w:r w:rsidRPr="006A58B7">
        <w:rPr>
          <w:rFonts w:ascii="Tahoma" w:hAnsi="Tahoma" w:cs="Tahoma"/>
          <w:sz w:val="22"/>
          <w:szCs w:val="22"/>
          <w:lang w:val="es-CL"/>
        </w:rPr>
        <w:t>El concesionario deberá presentar la siguiente información:</w:t>
      </w:r>
    </w:p>
    <w:p w:rsidR="00C17132" w:rsidRPr="006A58B7" w:rsidRDefault="00C17132" w:rsidP="00C17132">
      <w:pPr>
        <w:jc w:val="both"/>
        <w:rPr>
          <w:rFonts w:ascii="Tahoma" w:hAnsi="Tahoma" w:cs="Tahoma"/>
        </w:rPr>
      </w:pPr>
    </w:p>
    <w:p w:rsidR="00C17132" w:rsidRPr="006A58B7" w:rsidRDefault="00C17132" w:rsidP="00C17132">
      <w:pPr>
        <w:jc w:val="both"/>
        <w:rPr>
          <w:rFonts w:ascii="Tahoma" w:hAnsi="Tahoma" w:cs="Tahoma"/>
        </w:rPr>
      </w:pPr>
      <w:r w:rsidRPr="006A58B7">
        <w:rPr>
          <w:rFonts w:ascii="Tahoma" w:hAnsi="Tahoma" w:cs="Tahoma"/>
        </w:rPr>
        <w:tab/>
      </w:r>
      <w:r w:rsidRPr="006A58B7">
        <w:rPr>
          <w:rFonts w:ascii="Tahoma" w:hAnsi="Tahoma" w:cs="Tahoma"/>
        </w:rPr>
        <w:tab/>
      </w:r>
      <w:r w:rsidRPr="006A58B7">
        <w:rPr>
          <w:rFonts w:ascii="Tahoma" w:hAnsi="Tahoma" w:cs="Tahoma"/>
        </w:rPr>
        <w:tab/>
        <w:t>a.</w:t>
      </w:r>
      <w:r w:rsidRPr="006A58B7">
        <w:rPr>
          <w:rFonts w:ascii="Tahoma" w:hAnsi="Tahoma" w:cs="Tahoma"/>
        </w:rPr>
        <w:tab/>
        <w:t>Declaraciones de ingreso a Duty Free</w:t>
      </w:r>
    </w:p>
    <w:p w:rsidR="00C17132" w:rsidRPr="006A58B7" w:rsidRDefault="00C17132" w:rsidP="00C17132">
      <w:pPr>
        <w:jc w:val="both"/>
        <w:rPr>
          <w:rFonts w:ascii="Tahoma" w:hAnsi="Tahoma" w:cs="Tahoma"/>
        </w:rPr>
      </w:pPr>
      <w:r w:rsidRPr="006A58B7">
        <w:rPr>
          <w:rFonts w:ascii="Tahoma" w:hAnsi="Tahoma" w:cs="Tahoma"/>
        </w:rPr>
        <w:tab/>
      </w:r>
      <w:r w:rsidRPr="006A58B7">
        <w:rPr>
          <w:rFonts w:ascii="Tahoma" w:hAnsi="Tahoma" w:cs="Tahoma"/>
        </w:rPr>
        <w:tab/>
      </w:r>
      <w:r w:rsidRPr="006A58B7">
        <w:rPr>
          <w:rFonts w:ascii="Tahoma" w:hAnsi="Tahoma" w:cs="Tahoma"/>
        </w:rPr>
        <w:tab/>
        <w:t>b.</w:t>
      </w:r>
      <w:r w:rsidRPr="006A58B7">
        <w:rPr>
          <w:rFonts w:ascii="Tahoma" w:hAnsi="Tahoma" w:cs="Tahoma"/>
        </w:rPr>
        <w:tab/>
        <w:t>Documentos de traslado a Tiendas</w:t>
      </w:r>
    </w:p>
    <w:p w:rsidR="00C17132" w:rsidRPr="006A58B7" w:rsidRDefault="00C17132" w:rsidP="00C17132">
      <w:pPr>
        <w:jc w:val="both"/>
        <w:rPr>
          <w:rFonts w:ascii="Tahoma" w:hAnsi="Tahoma" w:cs="Tahoma"/>
        </w:rPr>
      </w:pPr>
      <w:r w:rsidRPr="006A58B7">
        <w:rPr>
          <w:rFonts w:ascii="Tahoma" w:hAnsi="Tahoma" w:cs="Tahoma"/>
        </w:rPr>
        <w:tab/>
      </w:r>
      <w:r w:rsidRPr="006A58B7">
        <w:rPr>
          <w:rFonts w:ascii="Tahoma" w:hAnsi="Tahoma" w:cs="Tahoma"/>
        </w:rPr>
        <w:tab/>
      </w:r>
      <w:r w:rsidRPr="006A58B7">
        <w:rPr>
          <w:rFonts w:ascii="Tahoma" w:hAnsi="Tahoma" w:cs="Tahoma"/>
        </w:rPr>
        <w:tab/>
        <w:t>c.</w:t>
      </w:r>
      <w:r w:rsidRPr="006A58B7">
        <w:rPr>
          <w:rFonts w:ascii="Tahoma" w:hAnsi="Tahoma" w:cs="Tahoma"/>
        </w:rPr>
        <w:tab/>
        <w:t>Comprobante de Ventas (boleta)</w:t>
      </w:r>
    </w:p>
    <w:p w:rsidR="00C17132" w:rsidRPr="006A58B7" w:rsidRDefault="00C17132" w:rsidP="00C17132">
      <w:pPr>
        <w:jc w:val="both"/>
        <w:rPr>
          <w:rFonts w:ascii="Tahoma" w:hAnsi="Tahoma" w:cs="Tahoma"/>
        </w:rPr>
      </w:pPr>
      <w:r w:rsidRPr="006A58B7">
        <w:rPr>
          <w:rFonts w:ascii="Tahoma" w:hAnsi="Tahoma" w:cs="Tahoma"/>
        </w:rPr>
        <w:tab/>
      </w:r>
      <w:r w:rsidRPr="006A58B7">
        <w:rPr>
          <w:rFonts w:ascii="Tahoma" w:hAnsi="Tahoma" w:cs="Tahoma"/>
        </w:rPr>
        <w:tab/>
      </w:r>
      <w:r w:rsidRPr="006A58B7">
        <w:rPr>
          <w:rFonts w:ascii="Tahoma" w:hAnsi="Tahoma" w:cs="Tahoma"/>
        </w:rPr>
        <w:tab/>
        <w:t>d.</w:t>
      </w:r>
      <w:r w:rsidRPr="006A58B7">
        <w:rPr>
          <w:rFonts w:ascii="Tahoma" w:hAnsi="Tahoma" w:cs="Tahoma"/>
        </w:rPr>
        <w:tab/>
        <w:t>Devolución a Bodega Duty Free.</w:t>
      </w:r>
    </w:p>
    <w:p w:rsidR="00A82962" w:rsidRDefault="00A82962" w:rsidP="00A82962"/>
    <w:p w:rsidR="00A82962" w:rsidRDefault="00B57E10" w:rsidP="00A82962">
      <w:r>
        <w:t xml:space="preserve">** </w:t>
      </w:r>
      <w:r w:rsidR="00A82962">
        <w:t>Pregunta</w:t>
      </w:r>
      <w:r w:rsidR="00C17132">
        <w:t>s</w:t>
      </w:r>
    </w:p>
    <w:p w:rsidR="00C17132" w:rsidRDefault="00C17132" w:rsidP="00A82962">
      <w:r>
        <w:t>¿A</w:t>
      </w:r>
      <w:r w:rsidR="00A82962">
        <w:t xml:space="preserve"> qué periodo de información se refieren, al del cierre del mes anterior? </w:t>
      </w:r>
    </w:p>
    <w:p w:rsidR="00A82962" w:rsidRDefault="00A82962" w:rsidP="00A82962">
      <w:r>
        <w:t>¿</w:t>
      </w:r>
      <w:r w:rsidR="00C17132">
        <w:t>E</w:t>
      </w:r>
      <w:r>
        <w:t xml:space="preserve">n qué plazo debe presentarse? </w:t>
      </w:r>
      <w:r w:rsidR="00C17132">
        <w:t>¿Dentro de los 5 días, al fin de mes?</w:t>
      </w:r>
    </w:p>
    <w:p w:rsidR="00C17132" w:rsidRDefault="00C17132" w:rsidP="00A82962">
      <w:r>
        <w:t>¿Se necesitan los documentos originales?</w:t>
      </w:r>
    </w:p>
    <w:p w:rsidR="00C17132" w:rsidRDefault="00C17132" w:rsidP="00A82962"/>
    <w:p w:rsidR="00C17132" w:rsidRPr="006B78A8" w:rsidRDefault="00C17132" w:rsidP="00C17132">
      <w:pPr>
        <w:jc w:val="both"/>
        <w:rPr>
          <w:rFonts w:ascii="Tahoma" w:hAnsi="Tahoma" w:cs="Tahoma"/>
          <w:b/>
          <w:u w:val="single"/>
        </w:rPr>
      </w:pPr>
      <w:r>
        <w:rPr>
          <w:rFonts w:ascii="Tahoma" w:hAnsi="Tahoma" w:cs="Tahoma"/>
          <w:b/>
        </w:rPr>
        <w:t xml:space="preserve">ARTICULO </w:t>
      </w:r>
      <w:r w:rsidRPr="006B78A8">
        <w:rPr>
          <w:rFonts w:ascii="Tahoma" w:hAnsi="Tahoma" w:cs="Tahoma"/>
          <w:b/>
        </w:rPr>
        <w:t>1</w:t>
      </w:r>
      <w:r>
        <w:rPr>
          <w:rFonts w:ascii="Tahoma" w:hAnsi="Tahoma" w:cs="Tahoma"/>
          <w:b/>
        </w:rPr>
        <w:t xml:space="preserve">9. </w:t>
      </w:r>
      <w:r w:rsidRPr="006A58B7">
        <w:rPr>
          <w:rFonts w:ascii="Tahoma" w:hAnsi="Tahoma" w:cs="Tahoma"/>
          <w:b/>
        </w:rPr>
        <w:t>DOCUMENTOS EMITIDOS POR EL CONCESIONARIO</w:t>
      </w:r>
    </w:p>
    <w:p w:rsidR="00C17132" w:rsidRPr="006B78A8" w:rsidRDefault="00C17132" w:rsidP="00C17132">
      <w:pPr>
        <w:jc w:val="both"/>
        <w:rPr>
          <w:rFonts w:ascii="Tahoma" w:hAnsi="Tahoma" w:cs="Tahoma"/>
        </w:rPr>
      </w:pPr>
    </w:p>
    <w:p w:rsidR="00C17132" w:rsidRPr="006B78A8" w:rsidRDefault="00C17132" w:rsidP="00C17132">
      <w:pPr>
        <w:jc w:val="both"/>
        <w:rPr>
          <w:rFonts w:ascii="Tahoma" w:hAnsi="Tahoma" w:cs="Tahoma"/>
          <w:b/>
        </w:rPr>
      </w:pPr>
      <w:r w:rsidRPr="006B78A8">
        <w:rPr>
          <w:rFonts w:ascii="Tahoma" w:hAnsi="Tahoma" w:cs="Tahoma"/>
          <w:b/>
        </w:rPr>
        <w:tab/>
        <w:t>1</w:t>
      </w:r>
      <w:r>
        <w:rPr>
          <w:rFonts w:ascii="Tahoma" w:hAnsi="Tahoma" w:cs="Tahoma"/>
          <w:b/>
        </w:rPr>
        <w:t>9</w:t>
      </w:r>
      <w:r w:rsidRPr="006B78A8">
        <w:rPr>
          <w:rFonts w:ascii="Tahoma" w:hAnsi="Tahoma" w:cs="Tahoma"/>
          <w:b/>
        </w:rPr>
        <w:t>.1 ORDEN DE PEDIDO</w:t>
      </w:r>
    </w:p>
    <w:p w:rsidR="00C17132" w:rsidRPr="006B78A8" w:rsidRDefault="00C17132" w:rsidP="00C17132">
      <w:pPr>
        <w:jc w:val="both"/>
        <w:rPr>
          <w:rFonts w:ascii="Tahoma" w:hAnsi="Tahoma" w:cs="Tahoma"/>
        </w:rPr>
      </w:pPr>
      <w:r w:rsidRPr="006B78A8">
        <w:rPr>
          <w:rFonts w:ascii="Tahoma" w:hAnsi="Tahoma" w:cs="Tahoma"/>
        </w:rPr>
        <w:tab/>
      </w:r>
    </w:p>
    <w:p w:rsidR="00C17132" w:rsidRPr="006B78A8" w:rsidRDefault="00C17132" w:rsidP="00C17132">
      <w:pPr>
        <w:ind w:left="1410"/>
        <w:jc w:val="both"/>
        <w:rPr>
          <w:rFonts w:ascii="Tahoma" w:hAnsi="Tahoma" w:cs="Tahoma"/>
        </w:rPr>
      </w:pPr>
      <w:r w:rsidRPr="006B78A8">
        <w:rPr>
          <w:rFonts w:ascii="Tahoma" w:hAnsi="Tahoma" w:cs="Tahoma"/>
        </w:rPr>
        <w:t>Documento emitido por el encargado de la tienda respectiva, mediante el cual solicita a Bodega DF el envío de determinadas mercancías. Esta orden debe mantenerse en bodega como respaldo.</w:t>
      </w:r>
    </w:p>
    <w:p w:rsidR="00C17132" w:rsidRDefault="00C17132" w:rsidP="00A82962"/>
    <w:p w:rsidR="00C17132" w:rsidRDefault="00B57E10" w:rsidP="00A82962">
      <w:r>
        <w:t xml:space="preserve">** </w:t>
      </w:r>
      <w:r w:rsidR="00C17132">
        <w:t>Aclaración</w:t>
      </w:r>
    </w:p>
    <w:p w:rsidR="00C17132" w:rsidRDefault="00C17132" w:rsidP="00C17132">
      <w:pPr>
        <w:pStyle w:val="Textocomentario"/>
      </w:pPr>
      <w:r>
        <w:t xml:space="preserve">No existe la orden de compra en las tiendas, diariamente las tiendas en función de los parámetros establecidos para cada artículo individualizado, hace una generación automática y se genera el pedido a la bodega. En ocasiones excepcionales puede haber pedidos manuales de tienda, pero la generalidad es un proceso automático, que en los listados con los que se hace el picking se adjuntan a los I7 (documentos de acompañamiento de la mercancía), pero en un futuro, esta copia de papel desaparecerá pues se gestionará el picking con Terminales Ópticos. </w:t>
      </w:r>
    </w:p>
    <w:p w:rsidR="003E0AF5" w:rsidRDefault="003E0AF5" w:rsidP="00C17132">
      <w:pPr>
        <w:pStyle w:val="Textocomentario"/>
      </w:pPr>
    </w:p>
    <w:p w:rsidR="003E0AF5" w:rsidRDefault="003E0AF5" w:rsidP="003E0AF5">
      <w:pPr>
        <w:ind w:left="1410" w:hanging="702"/>
        <w:jc w:val="both"/>
        <w:rPr>
          <w:rFonts w:ascii="Tahoma" w:hAnsi="Tahoma" w:cs="Tahoma"/>
          <w:b/>
        </w:rPr>
      </w:pPr>
    </w:p>
    <w:p w:rsidR="003E0AF5" w:rsidRDefault="003E0AF5" w:rsidP="003E0AF5">
      <w:pPr>
        <w:ind w:left="1410" w:hanging="702"/>
        <w:jc w:val="both"/>
        <w:rPr>
          <w:rFonts w:ascii="Tahoma" w:hAnsi="Tahoma" w:cs="Tahoma"/>
          <w:b/>
        </w:rPr>
      </w:pPr>
    </w:p>
    <w:p w:rsidR="00B57E10" w:rsidRDefault="00B57E10" w:rsidP="003E0AF5">
      <w:pPr>
        <w:ind w:left="1410" w:hanging="702"/>
        <w:jc w:val="both"/>
        <w:rPr>
          <w:rFonts w:ascii="Tahoma" w:hAnsi="Tahoma" w:cs="Tahoma"/>
          <w:b/>
        </w:rPr>
      </w:pPr>
    </w:p>
    <w:p w:rsidR="003E0AF5" w:rsidRDefault="003E0AF5" w:rsidP="003E0AF5">
      <w:pPr>
        <w:ind w:left="1410" w:hanging="702"/>
        <w:jc w:val="both"/>
        <w:rPr>
          <w:rFonts w:ascii="Tahoma" w:hAnsi="Tahoma" w:cs="Tahoma"/>
          <w:b/>
        </w:rPr>
      </w:pPr>
    </w:p>
    <w:p w:rsidR="003E0AF5" w:rsidRDefault="003E0AF5" w:rsidP="003E0AF5">
      <w:pPr>
        <w:ind w:left="1410" w:hanging="702"/>
        <w:jc w:val="both"/>
        <w:rPr>
          <w:rFonts w:ascii="Tahoma" w:hAnsi="Tahoma" w:cs="Tahoma"/>
          <w:b/>
        </w:rPr>
      </w:pPr>
      <w:r w:rsidRPr="006B78A8">
        <w:rPr>
          <w:rFonts w:ascii="Tahoma" w:hAnsi="Tahoma" w:cs="Tahoma"/>
          <w:b/>
        </w:rPr>
        <w:lastRenderedPageBreak/>
        <w:t>1</w:t>
      </w:r>
      <w:r>
        <w:rPr>
          <w:rFonts w:ascii="Tahoma" w:hAnsi="Tahoma" w:cs="Tahoma"/>
          <w:b/>
        </w:rPr>
        <w:t>9</w:t>
      </w:r>
      <w:r w:rsidRPr="006B78A8">
        <w:rPr>
          <w:rFonts w:ascii="Tahoma" w:hAnsi="Tahoma" w:cs="Tahoma"/>
          <w:b/>
        </w:rPr>
        <w:t xml:space="preserve">.4   </w:t>
      </w:r>
      <w:r w:rsidRPr="006B78A8">
        <w:rPr>
          <w:rFonts w:ascii="Tahoma" w:hAnsi="Tahoma" w:cs="Tahoma"/>
          <w:b/>
        </w:rPr>
        <w:tab/>
      </w:r>
      <w:r w:rsidR="00B57E10" w:rsidRPr="006B78A8">
        <w:rPr>
          <w:rFonts w:ascii="Tahoma" w:hAnsi="Tahoma" w:cs="Tahoma"/>
          <w:b/>
        </w:rPr>
        <w:t>DEVOLUCION A</w:t>
      </w:r>
      <w:r w:rsidRPr="006B78A8">
        <w:rPr>
          <w:rFonts w:ascii="Tahoma" w:hAnsi="Tahoma" w:cs="Tahoma"/>
          <w:b/>
        </w:rPr>
        <w:t xml:space="preserve"> BODEGA  DUTY FREE</w:t>
      </w:r>
    </w:p>
    <w:p w:rsidR="003E0AF5" w:rsidRPr="006B78A8" w:rsidRDefault="003E0AF5" w:rsidP="003E0AF5">
      <w:pPr>
        <w:ind w:left="1410" w:hanging="702"/>
        <w:jc w:val="both"/>
        <w:rPr>
          <w:rFonts w:ascii="Tahoma" w:hAnsi="Tahoma" w:cs="Tahoma"/>
          <w:b/>
        </w:rPr>
      </w:pPr>
    </w:p>
    <w:p w:rsidR="003E0AF5" w:rsidRPr="006B78A8" w:rsidRDefault="003E0AF5" w:rsidP="003E0AF5">
      <w:pPr>
        <w:ind w:left="1410" w:hanging="702"/>
        <w:jc w:val="both"/>
        <w:rPr>
          <w:rFonts w:ascii="Tahoma" w:hAnsi="Tahoma" w:cs="Tahoma"/>
          <w:b/>
          <w:u w:val="single"/>
        </w:rPr>
      </w:pPr>
      <w:r w:rsidRPr="006B78A8">
        <w:rPr>
          <w:rFonts w:ascii="Tahoma" w:hAnsi="Tahoma" w:cs="Tahoma"/>
        </w:rPr>
        <w:tab/>
      </w:r>
      <w:r w:rsidRPr="006B78A8">
        <w:rPr>
          <w:rFonts w:ascii="Tahoma" w:hAnsi="Tahoma" w:cs="Tahoma"/>
        </w:rPr>
        <w:tab/>
        <w:t xml:space="preserve">Documento emitido por el responsable de la tienda Duty Free, con numeración única y correlativa, mediante el cual devuelve mercancías a la Bodega DF, que al igual que la Orden de Entrega, debe acompañar a las mercancías hasta su devolución en bodega. Este documento </w:t>
      </w:r>
      <w:r w:rsidR="000572AA" w:rsidRPr="006B78A8">
        <w:rPr>
          <w:rFonts w:ascii="Tahoma" w:hAnsi="Tahoma" w:cs="Tahoma"/>
        </w:rPr>
        <w:t>debe mantenerse</w:t>
      </w:r>
      <w:r w:rsidRPr="006B78A8">
        <w:rPr>
          <w:rFonts w:ascii="Tahoma" w:hAnsi="Tahoma" w:cs="Tahoma"/>
        </w:rPr>
        <w:t xml:space="preserve"> en la bodega como respaldo.</w:t>
      </w:r>
    </w:p>
    <w:p w:rsidR="003E0AF5" w:rsidRDefault="003E0AF5" w:rsidP="003E0AF5">
      <w:pPr>
        <w:jc w:val="both"/>
        <w:rPr>
          <w:rFonts w:ascii="Tahoma" w:hAnsi="Tahoma" w:cs="Tahoma"/>
          <w:b/>
          <w:u w:val="single"/>
        </w:rPr>
      </w:pPr>
    </w:p>
    <w:p w:rsidR="003E0AF5" w:rsidRDefault="003E0AF5" w:rsidP="003E0AF5">
      <w:pPr>
        <w:pStyle w:val="Textocomentario"/>
      </w:pPr>
    </w:p>
    <w:p w:rsidR="003E0AF5" w:rsidRPr="003E0AF5" w:rsidRDefault="00B57E10" w:rsidP="003E0AF5">
      <w:pPr>
        <w:pStyle w:val="Textocomentario"/>
      </w:pPr>
      <w:r>
        <w:t>** Aclaración</w:t>
      </w:r>
      <w:r w:rsidR="003E0AF5">
        <w:t>:</w:t>
      </w:r>
    </w:p>
    <w:p w:rsidR="003E0AF5" w:rsidRDefault="003E0AF5" w:rsidP="003E0AF5">
      <w:pPr>
        <w:pStyle w:val="Textocomentario"/>
      </w:pPr>
    </w:p>
    <w:p w:rsidR="003E0AF5" w:rsidRDefault="003E0AF5" w:rsidP="003E0AF5">
      <w:pPr>
        <w:pStyle w:val="Textocomentario"/>
      </w:pPr>
      <w:r>
        <w:t>Cuando se envía la mercancía de tiendas, no hay orden de entrega, eso es solo para material que esta por fuera del sistema, si está en el sistema, va con el documento de acompañamiento</w:t>
      </w:r>
      <w:r w:rsidR="000572AA">
        <w:t xml:space="preserve"> (I7)</w:t>
      </w:r>
      <w:r>
        <w:t xml:space="preserve"> y con esto es </w:t>
      </w:r>
      <w:r w:rsidR="00B57E10">
        <w:t>suficiente</w:t>
      </w:r>
    </w:p>
    <w:p w:rsidR="003E0AF5" w:rsidRPr="003E0AF5" w:rsidRDefault="003E0AF5" w:rsidP="003E0AF5">
      <w:pPr>
        <w:jc w:val="both"/>
        <w:rPr>
          <w:rFonts w:ascii="Tahoma" w:hAnsi="Tahoma" w:cs="Tahoma"/>
          <w:b/>
          <w:u w:val="single"/>
          <w:lang w:val="es-ES"/>
        </w:rPr>
      </w:pPr>
    </w:p>
    <w:p w:rsidR="003E0AF5" w:rsidRDefault="003E0AF5" w:rsidP="00C17132">
      <w:pPr>
        <w:pStyle w:val="Textocomentario"/>
      </w:pPr>
    </w:p>
    <w:sectPr w:rsidR="003E0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40412"/>
    <w:multiLevelType w:val="hybridMultilevel"/>
    <w:tmpl w:val="93A460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62"/>
    <w:rsid w:val="000572AA"/>
    <w:rsid w:val="003E0AF5"/>
    <w:rsid w:val="004E4FA2"/>
    <w:rsid w:val="00A82962"/>
    <w:rsid w:val="00B57E10"/>
    <w:rsid w:val="00C17132"/>
    <w:rsid w:val="00CB75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8581A-E8C6-40EB-A8D3-B78DFCFE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82962"/>
    <w:rPr>
      <w:sz w:val="16"/>
      <w:szCs w:val="16"/>
    </w:rPr>
  </w:style>
  <w:style w:type="paragraph" w:styleId="Textocomentario">
    <w:name w:val="annotation text"/>
    <w:basedOn w:val="Normal"/>
    <w:link w:val="TextocomentarioCar"/>
    <w:uiPriority w:val="99"/>
    <w:unhideWhenUsed/>
    <w:rsid w:val="00A82962"/>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rsid w:val="00A82962"/>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A829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962"/>
    <w:rPr>
      <w:rFonts w:ascii="Segoe UI" w:hAnsi="Segoe UI" w:cs="Segoe UI"/>
      <w:sz w:val="18"/>
      <w:szCs w:val="18"/>
    </w:rPr>
  </w:style>
  <w:style w:type="paragraph" w:styleId="Prrafodelista">
    <w:name w:val="List Paragraph"/>
    <w:basedOn w:val="Normal"/>
    <w:uiPriority w:val="34"/>
    <w:qFormat/>
    <w:rsid w:val="00C17132"/>
    <w:pPr>
      <w:suppressAutoHyphens/>
      <w:spacing w:after="0" w:line="240" w:lineRule="auto"/>
      <w:ind w:left="720"/>
      <w:contextualSpacing/>
    </w:pPr>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2923</Characters>
  <Application>Microsoft Office Word</Application>
  <DocSecurity>4</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Dufry</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Charo Artiaga</dc:creator>
  <cp:keywords/>
  <dc:description/>
  <cp:lastModifiedBy>Raul Pacheco Mendiboure</cp:lastModifiedBy>
  <cp:revision>2</cp:revision>
  <dcterms:created xsi:type="dcterms:W3CDTF">2020-02-18T20:33:00Z</dcterms:created>
  <dcterms:modified xsi:type="dcterms:W3CDTF">2020-02-18T20:33:00Z</dcterms:modified>
</cp:coreProperties>
</file>