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64" w:rsidRDefault="00921F64" w:rsidP="00C94161">
      <w:pPr>
        <w:ind w:firstLine="4253"/>
        <w:rPr>
          <w:b/>
        </w:rPr>
      </w:pPr>
      <w:bookmarkStart w:id="0" w:name="_GoBack"/>
      <w:bookmarkEnd w:id="0"/>
    </w:p>
    <w:p w:rsidR="00C94161" w:rsidRDefault="00C94161" w:rsidP="00C94161">
      <w:pPr>
        <w:ind w:firstLine="4253"/>
        <w:rPr>
          <w:b/>
        </w:rPr>
      </w:pPr>
      <w:r>
        <w:rPr>
          <w:b/>
        </w:rPr>
        <w:t xml:space="preserve">RESOLUCIÓN EXENTA N° </w:t>
      </w:r>
    </w:p>
    <w:p w:rsidR="00C94161" w:rsidRDefault="00C94161" w:rsidP="00C94161">
      <w:pPr>
        <w:ind w:firstLine="4253"/>
        <w:rPr>
          <w:b/>
        </w:rPr>
      </w:pPr>
      <w:r>
        <w:rPr>
          <w:b/>
        </w:rPr>
        <w:t xml:space="preserve">VALPARAÍSO, </w:t>
      </w:r>
    </w:p>
    <w:p w:rsidR="00D6074D" w:rsidRDefault="00C94161" w:rsidP="0095412E">
      <w:pPr>
        <w:ind w:firstLine="4253"/>
        <w:jc w:val="both"/>
      </w:pPr>
      <w:r w:rsidRPr="00C94161">
        <w:rPr>
          <w:b/>
        </w:rPr>
        <w:t>VISTOS:</w:t>
      </w:r>
      <w:r>
        <w:t xml:space="preserve"> La Resolución N° 7591 de 2 de octubre de 2012, mediante la cual se aprobaron las “Normas sobre la Presentación Electrónica del Manifiesto de Carga por Vía Marítima”.</w:t>
      </w:r>
    </w:p>
    <w:p w:rsidR="00AB399D" w:rsidRDefault="00C87CDD" w:rsidP="0095412E">
      <w:pPr>
        <w:ind w:firstLine="4253"/>
        <w:jc w:val="both"/>
      </w:pPr>
      <w:r>
        <w:t xml:space="preserve">La Resolución Exenta N° </w:t>
      </w:r>
      <w:r w:rsidR="00CF0C5F">
        <w:t>4558</w:t>
      </w:r>
      <w:r>
        <w:t xml:space="preserve"> de </w:t>
      </w:r>
      <w:r w:rsidR="00CF0C5F">
        <w:t>30</w:t>
      </w:r>
      <w:r>
        <w:t xml:space="preserve"> de </w:t>
      </w:r>
      <w:r w:rsidR="00CF0C5F">
        <w:t>Julio</w:t>
      </w:r>
      <w:r>
        <w:t xml:space="preserve"> de 201</w:t>
      </w:r>
      <w:r w:rsidR="00CF0C5F">
        <w:t>5</w:t>
      </w:r>
      <w:r>
        <w:t xml:space="preserve">, </w:t>
      </w:r>
      <w:r w:rsidR="00AB399D">
        <w:t xml:space="preserve">la cual </w:t>
      </w:r>
      <w:r w:rsidR="00AB399D" w:rsidRPr="00AB399D">
        <w:t>Modifica la Resolución N° 7591/12 DNA, sobre transmisión del manifiesto marítimo electrónico de ingreso.</w:t>
      </w:r>
    </w:p>
    <w:p w:rsidR="00527089" w:rsidRDefault="00C94161" w:rsidP="0095412E">
      <w:pPr>
        <w:ind w:firstLine="4253"/>
        <w:jc w:val="both"/>
      </w:pPr>
      <w:r w:rsidRPr="00C94161">
        <w:rPr>
          <w:b/>
        </w:rPr>
        <w:t>CONSIDERANDO:</w:t>
      </w:r>
      <w:r>
        <w:t xml:space="preserve"> Que </w:t>
      </w:r>
      <w:r w:rsidR="00C87CDD">
        <w:t xml:space="preserve">con la implementación de la transmisión electrónica </w:t>
      </w:r>
      <w:r w:rsidR="00AB399D">
        <w:t xml:space="preserve">de las aclaraciones a los </w:t>
      </w:r>
      <w:r w:rsidR="00921F64">
        <w:t xml:space="preserve">mensajes de los </w:t>
      </w:r>
      <w:r w:rsidR="00AB399D">
        <w:t xml:space="preserve">conocimientos de embarque, </w:t>
      </w:r>
      <w:r w:rsidR="00921F64">
        <w:t xml:space="preserve">se estableció que </w:t>
      </w:r>
      <w:r w:rsidR="00AB399D">
        <w:t>dependiendo del campo que se solicita a aclarar</w:t>
      </w:r>
      <w:r w:rsidR="00527089">
        <w:t>,</w:t>
      </w:r>
      <w:r w:rsidR="00AB399D">
        <w:t xml:space="preserve"> </w:t>
      </w:r>
      <w:r w:rsidR="00AB399D" w:rsidRPr="00AB399D">
        <w:t>quedará en espera de aprobación por parte de un funcionario de Aduana, quien podrá pedir mayores antecedentes para evaluar la petición</w:t>
      </w:r>
      <w:r w:rsidR="00AB399D">
        <w:t xml:space="preserve">. </w:t>
      </w:r>
    </w:p>
    <w:p w:rsidR="00CF0C5F" w:rsidRDefault="00527089" w:rsidP="00E31427">
      <w:pPr>
        <w:ind w:firstLine="4253"/>
        <w:jc w:val="both"/>
      </w:pPr>
      <w:r>
        <w:t xml:space="preserve">Que, distintos emisores de conocimientos de embarque han solicitado </w:t>
      </w:r>
      <w:r w:rsidR="000D3520">
        <w:t xml:space="preserve">estandarizar </w:t>
      </w:r>
      <w:r>
        <w:t xml:space="preserve"> los criterios de los antecedentes a solicitar para el análisis de las aclaraciones electrónicas emitidas.</w:t>
      </w:r>
    </w:p>
    <w:p w:rsidR="0095412E" w:rsidRDefault="0095412E" w:rsidP="00E31427">
      <w:pPr>
        <w:ind w:firstLine="4253"/>
        <w:jc w:val="both"/>
      </w:pPr>
      <w:r>
        <w:t xml:space="preserve">Que, </w:t>
      </w:r>
      <w:r w:rsidR="00527089">
        <w:t xml:space="preserve">en base a la solicitud </w:t>
      </w:r>
      <w:r>
        <w:t xml:space="preserve">se ha estimado conveniente realizar algunos ajustes a la normativa y procedimientos relacionados con el manifiesto marítimo electrónico, y </w:t>
      </w:r>
    </w:p>
    <w:p w:rsidR="00C94161" w:rsidRDefault="00C94161" w:rsidP="00E31427">
      <w:pPr>
        <w:ind w:firstLine="4253"/>
        <w:jc w:val="both"/>
      </w:pPr>
      <w:r w:rsidRPr="0095412E">
        <w:rPr>
          <w:b/>
        </w:rPr>
        <w:lastRenderedPageBreak/>
        <w:t>TENIENDO PRESENTE:</w:t>
      </w:r>
      <w:r>
        <w:t xml:space="preserve"> Las normas citadas, la Resolución N° 1600 de 2008 de la Contraloría General de la República, sobre exención de trámite de toma de razón y las facultades que me confiere el número 8 del artículo 4 de la Ley Orgánica del Servicio Nacional de Aduanas, dicto la siguiente:</w:t>
      </w:r>
    </w:p>
    <w:p w:rsidR="00E31427" w:rsidRDefault="00E31427" w:rsidP="00E31427">
      <w:pPr>
        <w:ind w:firstLine="4253"/>
        <w:jc w:val="both"/>
      </w:pPr>
    </w:p>
    <w:p w:rsidR="00056A89" w:rsidRDefault="00056A89" w:rsidP="00C94161">
      <w:pPr>
        <w:ind w:firstLine="4253"/>
        <w:rPr>
          <w:b/>
        </w:rPr>
      </w:pPr>
      <w:r w:rsidRPr="00056A89">
        <w:rPr>
          <w:b/>
        </w:rPr>
        <w:t>RESOLUCIÓN:</w:t>
      </w:r>
    </w:p>
    <w:p w:rsidR="00056A89" w:rsidRDefault="00056A89" w:rsidP="0023137F">
      <w:pPr>
        <w:pStyle w:val="Prrafodelista"/>
        <w:numPr>
          <w:ilvl w:val="0"/>
          <w:numId w:val="5"/>
        </w:numPr>
        <w:ind w:left="426"/>
        <w:jc w:val="both"/>
      </w:pPr>
      <w:r w:rsidRPr="0023137F">
        <w:rPr>
          <w:b/>
        </w:rPr>
        <w:t>Modifíquese</w:t>
      </w:r>
      <w:r>
        <w:t xml:space="preserve"> como se indica la Resolución 7591 del 2 de octubre de 2012:</w:t>
      </w:r>
    </w:p>
    <w:p w:rsidR="00947821" w:rsidRDefault="00947821" w:rsidP="00947821">
      <w:pPr>
        <w:pStyle w:val="Prrafodelista"/>
        <w:ind w:left="426"/>
        <w:jc w:val="both"/>
      </w:pPr>
    </w:p>
    <w:p w:rsidR="00DF388A" w:rsidRDefault="00DB5E93" w:rsidP="00911ECD">
      <w:pPr>
        <w:pStyle w:val="Prrafodelista"/>
        <w:numPr>
          <w:ilvl w:val="1"/>
          <w:numId w:val="5"/>
        </w:numPr>
        <w:ind w:left="709" w:hanging="349"/>
        <w:jc w:val="both"/>
      </w:pPr>
      <w:proofErr w:type="spellStart"/>
      <w:r w:rsidRPr="00C52113">
        <w:rPr>
          <w:b/>
        </w:rPr>
        <w:t>Elim</w:t>
      </w:r>
      <w:r w:rsidR="00921F64">
        <w:rPr>
          <w:b/>
        </w:rPr>
        <w:t>í</w:t>
      </w:r>
      <w:r w:rsidRPr="00C52113">
        <w:rPr>
          <w:b/>
        </w:rPr>
        <w:t>nase</w:t>
      </w:r>
      <w:proofErr w:type="spellEnd"/>
      <w:r w:rsidRPr="00C52113">
        <w:rPr>
          <w:b/>
        </w:rPr>
        <w:t xml:space="preserve"> </w:t>
      </w:r>
      <w:r>
        <w:t xml:space="preserve">del numeral 9.4 </w:t>
      </w:r>
      <w:r w:rsidR="00C52113">
        <w:t xml:space="preserve"> la frase “Fecha de zarpe”.</w:t>
      </w:r>
      <w:r>
        <w:tab/>
      </w:r>
    </w:p>
    <w:p w:rsidR="00C52113" w:rsidRDefault="00C52113" w:rsidP="00911ECD">
      <w:pPr>
        <w:pStyle w:val="Prrafodelista"/>
        <w:numPr>
          <w:ilvl w:val="1"/>
          <w:numId w:val="5"/>
        </w:numPr>
        <w:ind w:left="709" w:hanging="349"/>
        <w:jc w:val="both"/>
      </w:pPr>
      <w:r>
        <w:rPr>
          <w:b/>
        </w:rPr>
        <w:t xml:space="preserve"> </w:t>
      </w:r>
      <w:proofErr w:type="spellStart"/>
      <w:r>
        <w:rPr>
          <w:b/>
        </w:rPr>
        <w:t>Agr</w:t>
      </w:r>
      <w:r w:rsidR="00921F64">
        <w:rPr>
          <w:b/>
        </w:rPr>
        <w:t>é</w:t>
      </w:r>
      <w:r>
        <w:rPr>
          <w:b/>
        </w:rPr>
        <w:t>gase</w:t>
      </w:r>
      <w:proofErr w:type="spellEnd"/>
      <w:r>
        <w:rPr>
          <w:b/>
        </w:rPr>
        <w:t xml:space="preserve"> </w:t>
      </w:r>
      <w:r w:rsidRPr="00C52113">
        <w:t>al numeral 9.4</w:t>
      </w:r>
      <w:r>
        <w:rPr>
          <w:b/>
        </w:rPr>
        <w:t xml:space="preserve">, </w:t>
      </w:r>
      <w:r w:rsidR="00947821">
        <w:t xml:space="preserve">como último párrafo lo siguiente: </w:t>
      </w:r>
    </w:p>
    <w:p w:rsidR="00947821" w:rsidRDefault="00947821" w:rsidP="00947821">
      <w:pPr>
        <w:pStyle w:val="Prrafodelista"/>
        <w:jc w:val="both"/>
      </w:pPr>
    </w:p>
    <w:p w:rsidR="00C52113" w:rsidRDefault="00947821" w:rsidP="00947821">
      <w:pPr>
        <w:pStyle w:val="Prrafodelista"/>
        <w:jc w:val="both"/>
      </w:pPr>
      <w:r>
        <w:t xml:space="preserve">“Los antecedentes de respaldo que se deberán adjuntar a la solicitud de aclaración de los </w:t>
      </w:r>
      <w:r w:rsidR="00921F64">
        <w:t xml:space="preserve">mensajes de los </w:t>
      </w:r>
      <w:r>
        <w:t>conocimientos de embarque será</w:t>
      </w:r>
      <w:r w:rsidR="00911ECD">
        <w:t xml:space="preserve">n los descritos en el Anexo N°3 de esta Resolución: </w:t>
      </w:r>
      <w:r w:rsidRPr="00921F64">
        <w:rPr>
          <w:i/>
        </w:rPr>
        <w:t xml:space="preserve">Antecedentes a adjuntar ante la solicitud de aclaración al </w:t>
      </w:r>
      <w:r w:rsidR="00921F64">
        <w:rPr>
          <w:i/>
        </w:rPr>
        <w:t xml:space="preserve">mensaje del </w:t>
      </w:r>
      <w:r w:rsidRPr="00921F64">
        <w:rPr>
          <w:i/>
        </w:rPr>
        <w:t>documento de transporte marítimo</w:t>
      </w:r>
      <w:r>
        <w:t>.”</w:t>
      </w:r>
    </w:p>
    <w:p w:rsidR="004A25B9" w:rsidRDefault="004A25B9" w:rsidP="00947821">
      <w:pPr>
        <w:pStyle w:val="Prrafodelista"/>
        <w:jc w:val="both"/>
      </w:pPr>
    </w:p>
    <w:p w:rsidR="00947821" w:rsidRDefault="00947821" w:rsidP="00947821">
      <w:pPr>
        <w:pStyle w:val="Prrafodelista"/>
        <w:jc w:val="both"/>
      </w:pPr>
    </w:p>
    <w:p w:rsidR="00056A89" w:rsidRDefault="000D3520" w:rsidP="00911ECD">
      <w:pPr>
        <w:pStyle w:val="Prrafodelista"/>
        <w:numPr>
          <w:ilvl w:val="1"/>
          <w:numId w:val="5"/>
        </w:numPr>
        <w:ind w:left="709" w:hanging="349"/>
        <w:jc w:val="both"/>
      </w:pPr>
      <w:r w:rsidRPr="00C52113">
        <w:rPr>
          <w:b/>
        </w:rPr>
        <w:t>Incorpórese</w:t>
      </w:r>
      <w:r>
        <w:t xml:space="preserve"> </w:t>
      </w:r>
      <w:r w:rsidR="00911ECD">
        <w:t xml:space="preserve">el siguiente </w:t>
      </w:r>
      <w:r w:rsidR="00C52113">
        <w:t>ANEXO N°3</w:t>
      </w:r>
      <w:r w:rsidR="00911ECD">
        <w:t xml:space="preserve">: </w:t>
      </w:r>
      <w:r w:rsidR="00C52113">
        <w:t xml:space="preserve"> </w:t>
      </w:r>
      <w:r w:rsidR="00C52113" w:rsidRPr="00921F64">
        <w:rPr>
          <w:b/>
          <w:i/>
        </w:rPr>
        <w:t xml:space="preserve">ANTECEDENTES A ADJUNTAR ANTE LA SOLICITUD DE ACLARACIÓN AL </w:t>
      </w:r>
      <w:r w:rsidR="00921F64">
        <w:rPr>
          <w:b/>
          <w:i/>
        </w:rPr>
        <w:t xml:space="preserve">MENSAJE DEL </w:t>
      </w:r>
      <w:r w:rsidR="00C52113" w:rsidRPr="00921F64">
        <w:rPr>
          <w:b/>
          <w:i/>
        </w:rPr>
        <w:t>DOCUMENTO DE TRANSPORTE MARÍTIMO</w:t>
      </w:r>
      <w:r w:rsidR="009D1CD2">
        <w:t>:</w:t>
      </w:r>
    </w:p>
    <w:p w:rsidR="003D2C74" w:rsidRDefault="000D3520" w:rsidP="009D1CD2">
      <w:pPr>
        <w:ind w:left="708"/>
        <w:jc w:val="both"/>
      </w:pPr>
      <w:r>
        <w:lastRenderedPageBreak/>
        <w:t xml:space="preserve">Los antecedentes y/o documentos que se deben adjuntar como respaldo ante la solicitud </w:t>
      </w:r>
      <w:r w:rsidR="00CF0C5F">
        <w:t xml:space="preserve">de aclaración </w:t>
      </w:r>
      <w:r>
        <w:t xml:space="preserve">en el caso de los campos </w:t>
      </w:r>
      <w:r w:rsidR="003D2C74">
        <w:t>citados</w:t>
      </w:r>
      <w:r w:rsidR="00C52113">
        <w:t xml:space="preserve"> en el numeral 9.4</w:t>
      </w:r>
      <w:r w:rsidR="003D2C74">
        <w:t>, según se indica  a continuación</w:t>
      </w:r>
      <w:r w:rsidR="00CF0C5F">
        <w:t xml:space="preserve"> son</w:t>
      </w:r>
      <w:r w:rsidR="003D2C74">
        <w:t>:</w:t>
      </w:r>
    </w:p>
    <w:p w:rsidR="003D2C74" w:rsidRPr="00921F64" w:rsidRDefault="0030750E" w:rsidP="00947821">
      <w:pPr>
        <w:pStyle w:val="Prrafodelista"/>
        <w:numPr>
          <w:ilvl w:val="0"/>
          <w:numId w:val="2"/>
        </w:numPr>
        <w:spacing w:after="0" w:line="240" w:lineRule="atLeast"/>
        <w:ind w:left="1068"/>
        <w:jc w:val="both"/>
        <w:rPr>
          <w:b/>
        </w:rPr>
      </w:pPr>
      <w:r w:rsidRPr="00921F64">
        <w:rPr>
          <w:b/>
        </w:rPr>
        <w:t>Cambio de c</w:t>
      </w:r>
      <w:r w:rsidR="003D2C74" w:rsidRPr="00921F64">
        <w:rPr>
          <w:b/>
        </w:rPr>
        <w:t>onsignatario</w:t>
      </w:r>
      <w:r w:rsidRPr="00921F64">
        <w:rPr>
          <w:b/>
        </w:rPr>
        <w:t>:</w:t>
      </w:r>
    </w:p>
    <w:p w:rsidR="0030750E" w:rsidRPr="0023137F" w:rsidRDefault="0030750E" w:rsidP="00921F64">
      <w:pPr>
        <w:pStyle w:val="Prrafodelista"/>
        <w:numPr>
          <w:ilvl w:val="1"/>
          <w:numId w:val="2"/>
        </w:numPr>
        <w:spacing w:after="0" w:line="240" w:lineRule="atLeast"/>
        <w:ind w:left="1418" w:hanging="284"/>
        <w:jc w:val="both"/>
      </w:pPr>
      <w:r w:rsidRPr="0023137F">
        <w:t>Conocimiento de embarque corregido</w:t>
      </w:r>
      <w:r w:rsidR="00921F64">
        <w:t>.</w:t>
      </w:r>
    </w:p>
    <w:p w:rsidR="0030750E" w:rsidRPr="0023137F" w:rsidRDefault="0030750E" w:rsidP="00921F64">
      <w:pPr>
        <w:pStyle w:val="Prrafodelista"/>
        <w:numPr>
          <w:ilvl w:val="1"/>
          <w:numId w:val="2"/>
        </w:numPr>
        <w:spacing w:after="0" w:line="240" w:lineRule="atLeast"/>
        <w:ind w:left="1418" w:hanging="284"/>
        <w:jc w:val="both"/>
      </w:pPr>
      <w:r w:rsidRPr="0023137F">
        <w:t>Carta de responsabilidad del consignatario, agente naviero o forwarder, solicitando el respectivo cambio bajo su responsabilidad.</w:t>
      </w:r>
    </w:p>
    <w:p w:rsidR="0030750E" w:rsidRPr="0023137F" w:rsidRDefault="0030750E" w:rsidP="00947821">
      <w:pPr>
        <w:pStyle w:val="Prrafodelista"/>
        <w:spacing w:after="0" w:line="240" w:lineRule="atLeast"/>
        <w:ind w:left="1788"/>
        <w:jc w:val="both"/>
      </w:pPr>
    </w:p>
    <w:p w:rsidR="003D2C74" w:rsidRPr="00921F64" w:rsidRDefault="0030750E" w:rsidP="00947821">
      <w:pPr>
        <w:pStyle w:val="Prrafodelista"/>
        <w:numPr>
          <w:ilvl w:val="0"/>
          <w:numId w:val="2"/>
        </w:numPr>
        <w:spacing w:after="0" w:line="240" w:lineRule="atLeast"/>
        <w:ind w:left="1068"/>
        <w:jc w:val="both"/>
        <w:rPr>
          <w:b/>
        </w:rPr>
      </w:pPr>
      <w:r w:rsidRPr="00921F64">
        <w:rPr>
          <w:b/>
        </w:rPr>
        <w:t>Cambio de e</w:t>
      </w:r>
      <w:r w:rsidR="003D2C74" w:rsidRPr="00921F64">
        <w:rPr>
          <w:b/>
        </w:rPr>
        <w:t>mbarcador</w:t>
      </w:r>
      <w:r w:rsidRPr="00921F64">
        <w:rPr>
          <w:b/>
        </w:rPr>
        <w:t>:</w:t>
      </w:r>
    </w:p>
    <w:p w:rsidR="0023137F" w:rsidRPr="0023137F" w:rsidRDefault="0023137F" w:rsidP="00921F64">
      <w:pPr>
        <w:pStyle w:val="Prrafodelista"/>
        <w:numPr>
          <w:ilvl w:val="1"/>
          <w:numId w:val="2"/>
        </w:numPr>
        <w:spacing w:after="0" w:line="240" w:lineRule="atLeast"/>
        <w:ind w:left="1418" w:hanging="284"/>
        <w:jc w:val="both"/>
      </w:pPr>
      <w:r w:rsidRPr="0023137F">
        <w:t>Conocimiento de embarque corregido</w:t>
      </w:r>
      <w:r w:rsidR="00921F64">
        <w:t>.</w:t>
      </w:r>
    </w:p>
    <w:p w:rsidR="0030750E" w:rsidRPr="0023137F" w:rsidRDefault="0030750E" w:rsidP="00947821">
      <w:pPr>
        <w:pStyle w:val="Prrafodelista"/>
        <w:spacing w:after="0" w:line="240" w:lineRule="atLeast"/>
        <w:ind w:left="1788"/>
        <w:jc w:val="both"/>
      </w:pPr>
    </w:p>
    <w:p w:rsidR="003D2C74" w:rsidRPr="00921F64" w:rsidRDefault="0030750E" w:rsidP="00947821">
      <w:pPr>
        <w:pStyle w:val="Prrafodelista"/>
        <w:numPr>
          <w:ilvl w:val="0"/>
          <w:numId w:val="2"/>
        </w:numPr>
        <w:spacing w:after="0" w:line="240" w:lineRule="atLeast"/>
        <w:ind w:left="1068"/>
        <w:jc w:val="both"/>
        <w:rPr>
          <w:b/>
        </w:rPr>
      </w:pPr>
      <w:r w:rsidRPr="00921F64">
        <w:rPr>
          <w:b/>
        </w:rPr>
        <w:t>Corrige la c</w:t>
      </w:r>
      <w:r w:rsidR="003D2C74" w:rsidRPr="00921F64">
        <w:rPr>
          <w:b/>
        </w:rPr>
        <w:t xml:space="preserve">antidad de </w:t>
      </w:r>
      <w:r w:rsidRPr="00921F64">
        <w:rPr>
          <w:b/>
        </w:rPr>
        <w:t>b</w:t>
      </w:r>
      <w:r w:rsidR="003D2C74" w:rsidRPr="00921F64">
        <w:rPr>
          <w:b/>
        </w:rPr>
        <w:t>ultos</w:t>
      </w:r>
      <w:r w:rsidRPr="00921F64">
        <w:rPr>
          <w:b/>
        </w:rPr>
        <w:t>:</w:t>
      </w:r>
    </w:p>
    <w:p w:rsidR="0030750E" w:rsidRPr="0023137F" w:rsidRDefault="0030750E" w:rsidP="00921F64">
      <w:pPr>
        <w:pStyle w:val="Prrafodelista"/>
        <w:numPr>
          <w:ilvl w:val="1"/>
          <w:numId w:val="2"/>
        </w:numPr>
        <w:spacing w:after="0" w:line="240" w:lineRule="atLeast"/>
        <w:ind w:left="1418" w:hanging="284"/>
        <w:jc w:val="both"/>
      </w:pPr>
      <w:r w:rsidRPr="0023137F">
        <w:t>Cuando se modifica la cantidad de bultos a MÁS, se solicitarán los siguientes documentos:</w:t>
      </w:r>
    </w:p>
    <w:p w:rsidR="0030750E" w:rsidRPr="0023137F" w:rsidRDefault="0030750E" w:rsidP="00911ECD">
      <w:pPr>
        <w:pStyle w:val="Prrafodelista"/>
        <w:numPr>
          <w:ilvl w:val="2"/>
          <w:numId w:val="2"/>
        </w:numPr>
        <w:spacing w:after="0" w:line="240" w:lineRule="atLeast"/>
        <w:ind w:left="1701" w:hanging="141"/>
        <w:jc w:val="both"/>
      </w:pPr>
      <w:r w:rsidRPr="0023137F">
        <w:t>Conocimiento de embarque corregido.</w:t>
      </w:r>
    </w:p>
    <w:p w:rsidR="0030750E" w:rsidRPr="0023137F" w:rsidRDefault="0030750E" w:rsidP="00911ECD">
      <w:pPr>
        <w:pStyle w:val="Prrafodelista"/>
        <w:numPr>
          <w:ilvl w:val="2"/>
          <w:numId w:val="2"/>
        </w:numPr>
        <w:spacing w:after="0" w:line="240" w:lineRule="atLeast"/>
        <w:ind w:left="1701" w:hanging="141"/>
        <w:jc w:val="both"/>
      </w:pPr>
      <w:r w:rsidRPr="0023137F">
        <w:t>Documento de recepción como sobrante.</w:t>
      </w:r>
    </w:p>
    <w:p w:rsidR="0030750E" w:rsidRPr="0023137F" w:rsidRDefault="0030750E" w:rsidP="00911ECD">
      <w:pPr>
        <w:pStyle w:val="Prrafodelista"/>
        <w:numPr>
          <w:ilvl w:val="2"/>
          <w:numId w:val="2"/>
        </w:numPr>
        <w:spacing w:after="0" w:line="240" w:lineRule="atLeast"/>
        <w:ind w:left="1701" w:hanging="141"/>
        <w:jc w:val="both"/>
      </w:pPr>
      <w:r w:rsidRPr="0023137F">
        <w:t xml:space="preserve"> Carta de responsabilidad del consignatario, agente naviero o forwarder, solicitando el respectivo cambio bajo su responsabilidad.</w:t>
      </w:r>
    </w:p>
    <w:p w:rsidR="0030750E" w:rsidRPr="0023137F" w:rsidRDefault="0030750E" w:rsidP="00947821">
      <w:pPr>
        <w:pStyle w:val="Prrafodelista"/>
        <w:spacing w:after="0" w:line="240" w:lineRule="atLeast"/>
        <w:ind w:left="2508"/>
        <w:jc w:val="both"/>
      </w:pPr>
    </w:p>
    <w:p w:rsidR="0030750E" w:rsidRPr="0023137F" w:rsidRDefault="0030750E" w:rsidP="00911ECD">
      <w:pPr>
        <w:pStyle w:val="Prrafodelista"/>
        <w:numPr>
          <w:ilvl w:val="1"/>
          <w:numId w:val="2"/>
        </w:numPr>
        <w:spacing w:after="0" w:line="240" w:lineRule="atLeast"/>
        <w:ind w:left="1418" w:hanging="284"/>
        <w:jc w:val="both"/>
      </w:pPr>
      <w:r w:rsidRPr="0023137F">
        <w:t>Cuando se modifica la cantidad de bultos a MENOS, se solicitarán los siguientes documentos:</w:t>
      </w:r>
    </w:p>
    <w:p w:rsidR="0030750E" w:rsidRPr="0023137F" w:rsidRDefault="0030750E" w:rsidP="00911ECD">
      <w:pPr>
        <w:pStyle w:val="Prrafodelista"/>
        <w:numPr>
          <w:ilvl w:val="2"/>
          <w:numId w:val="2"/>
        </w:numPr>
        <w:spacing w:after="0" w:line="240" w:lineRule="atLeast"/>
        <w:ind w:left="1701" w:hanging="141"/>
        <w:jc w:val="both"/>
      </w:pPr>
      <w:r w:rsidRPr="0023137F">
        <w:t>Conocimiento de embarque corregido.</w:t>
      </w:r>
    </w:p>
    <w:p w:rsidR="0030750E" w:rsidRPr="0023137F" w:rsidRDefault="0030750E" w:rsidP="00911ECD">
      <w:pPr>
        <w:pStyle w:val="Prrafodelista"/>
        <w:numPr>
          <w:ilvl w:val="0"/>
          <w:numId w:val="4"/>
        </w:numPr>
        <w:spacing w:after="0" w:line="240" w:lineRule="atLeast"/>
        <w:ind w:left="1701" w:hanging="141"/>
        <w:jc w:val="both"/>
      </w:pPr>
      <w:r w:rsidRPr="0023137F">
        <w:t>Carta de responsabilidad del consignatario, agente naviero o forwarder, solicitando el respectivo cambio bajo su responsabilidad.</w:t>
      </w:r>
    </w:p>
    <w:p w:rsidR="0023137F" w:rsidRPr="0023137F" w:rsidRDefault="0023137F" w:rsidP="00911ECD">
      <w:pPr>
        <w:pStyle w:val="Prrafodelista"/>
        <w:numPr>
          <w:ilvl w:val="0"/>
          <w:numId w:val="4"/>
        </w:numPr>
        <w:spacing w:after="0" w:line="240" w:lineRule="atLeast"/>
        <w:ind w:left="1701" w:hanging="141"/>
        <w:jc w:val="both"/>
      </w:pPr>
      <w:r w:rsidRPr="0023137F">
        <w:lastRenderedPageBreak/>
        <w:t>Documento de recepción.</w:t>
      </w:r>
    </w:p>
    <w:p w:rsidR="0023137F" w:rsidRPr="0023137F" w:rsidRDefault="0023137F" w:rsidP="00911ECD">
      <w:pPr>
        <w:pStyle w:val="Prrafodelista"/>
        <w:numPr>
          <w:ilvl w:val="0"/>
          <w:numId w:val="4"/>
        </w:numPr>
        <w:spacing w:after="0" w:line="240" w:lineRule="atLeast"/>
        <w:ind w:left="1701" w:hanging="141"/>
        <w:jc w:val="both"/>
      </w:pPr>
      <w:r w:rsidRPr="0023137F">
        <w:t xml:space="preserve">Corrector de origen. </w:t>
      </w:r>
    </w:p>
    <w:p w:rsidR="00BE2F9D" w:rsidRPr="0023137F" w:rsidRDefault="00BE2F9D" w:rsidP="00947821">
      <w:pPr>
        <w:spacing w:after="0" w:line="240" w:lineRule="atLeast"/>
        <w:ind w:left="348"/>
        <w:jc w:val="both"/>
      </w:pPr>
    </w:p>
    <w:p w:rsidR="003D2C74" w:rsidRPr="00911ECD" w:rsidRDefault="003D2C74" w:rsidP="00947821">
      <w:pPr>
        <w:pStyle w:val="Prrafodelista"/>
        <w:numPr>
          <w:ilvl w:val="0"/>
          <w:numId w:val="2"/>
        </w:numPr>
        <w:spacing w:after="0" w:line="240" w:lineRule="atLeast"/>
        <w:ind w:left="1068"/>
        <w:jc w:val="both"/>
        <w:rPr>
          <w:b/>
        </w:rPr>
      </w:pPr>
      <w:r w:rsidRPr="00911ECD">
        <w:rPr>
          <w:b/>
        </w:rPr>
        <w:t>Tipo de bultos y peso (en todos sus niveles)</w:t>
      </w:r>
      <w:r w:rsidR="0023137F" w:rsidRPr="00911ECD">
        <w:rPr>
          <w:b/>
        </w:rPr>
        <w:t>:</w:t>
      </w:r>
    </w:p>
    <w:p w:rsidR="0023137F" w:rsidRPr="0023137F" w:rsidRDefault="0023137F" w:rsidP="00911ECD">
      <w:pPr>
        <w:pStyle w:val="Prrafodelista"/>
        <w:numPr>
          <w:ilvl w:val="1"/>
          <w:numId w:val="2"/>
        </w:numPr>
        <w:spacing w:after="0" w:line="240" w:lineRule="atLeast"/>
        <w:ind w:left="1560" w:hanging="426"/>
        <w:jc w:val="both"/>
      </w:pPr>
      <w:proofErr w:type="spellStart"/>
      <w:r w:rsidRPr="0023137F">
        <w:t>Packing</w:t>
      </w:r>
      <w:proofErr w:type="spellEnd"/>
      <w:r w:rsidRPr="0023137F">
        <w:t xml:space="preserve"> </w:t>
      </w:r>
      <w:proofErr w:type="spellStart"/>
      <w:r w:rsidRPr="0023137F">
        <w:t>list</w:t>
      </w:r>
      <w:proofErr w:type="spellEnd"/>
      <w:r w:rsidRPr="0023137F">
        <w:t xml:space="preserve"> y/o factura comercial</w:t>
      </w:r>
      <w:r w:rsidR="00911ECD">
        <w:t>.</w:t>
      </w:r>
    </w:p>
    <w:p w:rsidR="00375E1B" w:rsidRDefault="00375E1B" w:rsidP="00947821">
      <w:pPr>
        <w:pStyle w:val="Prrafodelista"/>
        <w:spacing w:after="0" w:line="240" w:lineRule="atLeast"/>
        <w:ind w:left="1788"/>
        <w:jc w:val="both"/>
      </w:pPr>
    </w:p>
    <w:p w:rsidR="00F04EB1" w:rsidRPr="00911ECD" w:rsidRDefault="00BE2F9D" w:rsidP="00947821">
      <w:pPr>
        <w:pStyle w:val="Prrafodelista"/>
        <w:numPr>
          <w:ilvl w:val="0"/>
          <w:numId w:val="2"/>
        </w:numPr>
        <w:spacing w:after="0" w:line="240" w:lineRule="atLeast"/>
        <w:ind w:left="1068"/>
        <w:jc w:val="both"/>
        <w:rPr>
          <w:b/>
        </w:rPr>
      </w:pPr>
      <w:r w:rsidRPr="00911ECD">
        <w:rPr>
          <w:b/>
        </w:rPr>
        <w:t>Marcas de los Bultos</w:t>
      </w:r>
      <w:r w:rsidR="0023137F" w:rsidRPr="00911ECD">
        <w:rPr>
          <w:b/>
        </w:rPr>
        <w:t>:</w:t>
      </w:r>
      <w:r w:rsidRPr="00911ECD">
        <w:rPr>
          <w:b/>
        </w:rPr>
        <w:t xml:space="preserve"> </w:t>
      </w:r>
    </w:p>
    <w:p w:rsidR="0023137F" w:rsidRPr="0023137F" w:rsidRDefault="0023137F" w:rsidP="00911ECD">
      <w:pPr>
        <w:pStyle w:val="Prrafodelista"/>
        <w:numPr>
          <w:ilvl w:val="1"/>
          <w:numId w:val="2"/>
        </w:numPr>
        <w:spacing w:after="0" w:line="240" w:lineRule="atLeast"/>
        <w:ind w:left="1560" w:hanging="426"/>
        <w:jc w:val="both"/>
      </w:pPr>
      <w:r w:rsidRPr="0023137F">
        <w:t>Conocimiento de embarque corregido.</w:t>
      </w:r>
    </w:p>
    <w:p w:rsidR="0023137F" w:rsidRDefault="0023137F" w:rsidP="00911ECD">
      <w:pPr>
        <w:pStyle w:val="Prrafodelista"/>
        <w:numPr>
          <w:ilvl w:val="1"/>
          <w:numId w:val="2"/>
        </w:numPr>
        <w:spacing w:after="0" w:line="240" w:lineRule="atLeast"/>
        <w:ind w:left="1560" w:hanging="426"/>
        <w:jc w:val="both"/>
      </w:pPr>
      <w:proofErr w:type="spellStart"/>
      <w:r w:rsidRPr="0023137F">
        <w:t>Packing</w:t>
      </w:r>
      <w:proofErr w:type="spellEnd"/>
      <w:r w:rsidRPr="0023137F">
        <w:t xml:space="preserve"> </w:t>
      </w:r>
      <w:proofErr w:type="spellStart"/>
      <w:r w:rsidRPr="0023137F">
        <w:t>list</w:t>
      </w:r>
      <w:proofErr w:type="spellEnd"/>
      <w:r w:rsidRPr="0023137F">
        <w:t xml:space="preserve"> y/o factura comercial</w:t>
      </w:r>
      <w:r w:rsidR="00911ECD">
        <w:t>.</w:t>
      </w:r>
    </w:p>
    <w:p w:rsidR="004A25B9" w:rsidRDefault="004A25B9" w:rsidP="004A25B9">
      <w:pPr>
        <w:pStyle w:val="Prrafodelista"/>
        <w:spacing w:after="0" w:line="240" w:lineRule="atLeast"/>
        <w:ind w:left="1560"/>
        <w:jc w:val="both"/>
      </w:pPr>
    </w:p>
    <w:p w:rsidR="00911ECD" w:rsidRDefault="00911ECD" w:rsidP="00911ECD">
      <w:pPr>
        <w:pStyle w:val="Prrafodelista"/>
        <w:spacing w:after="0" w:line="240" w:lineRule="atLeast"/>
        <w:ind w:left="1788"/>
        <w:jc w:val="both"/>
      </w:pPr>
    </w:p>
    <w:p w:rsidR="003D2C74" w:rsidRPr="00911ECD" w:rsidRDefault="003D2C74" w:rsidP="00947821">
      <w:pPr>
        <w:pStyle w:val="Prrafodelista"/>
        <w:numPr>
          <w:ilvl w:val="0"/>
          <w:numId w:val="2"/>
        </w:numPr>
        <w:spacing w:after="0" w:line="240" w:lineRule="atLeast"/>
        <w:ind w:left="1068"/>
        <w:jc w:val="both"/>
        <w:rPr>
          <w:b/>
        </w:rPr>
      </w:pPr>
      <w:r w:rsidRPr="00911ECD">
        <w:rPr>
          <w:b/>
        </w:rPr>
        <w:t>Cantidad y Descripción de las mercancías (en todos sus niveles)</w:t>
      </w:r>
      <w:r w:rsidR="0023137F" w:rsidRPr="00911ECD">
        <w:rPr>
          <w:b/>
        </w:rPr>
        <w:t>:</w:t>
      </w:r>
    </w:p>
    <w:p w:rsidR="0023137F" w:rsidRPr="0023137F" w:rsidRDefault="0023137F" w:rsidP="00911ECD">
      <w:pPr>
        <w:pStyle w:val="Prrafodelista"/>
        <w:numPr>
          <w:ilvl w:val="1"/>
          <w:numId w:val="2"/>
        </w:numPr>
        <w:spacing w:after="0" w:line="240" w:lineRule="atLeast"/>
        <w:ind w:left="1560" w:hanging="426"/>
        <w:jc w:val="both"/>
      </w:pPr>
      <w:r w:rsidRPr="0023137F">
        <w:t>Conocimiento de embarque corregido</w:t>
      </w:r>
      <w:r w:rsidR="00911ECD">
        <w:t>.</w:t>
      </w:r>
    </w:p>
    <w:p w:rsidR="0023137F" w:rsidRPr="0023137F" w:rsidRDefault="0023137F" w:rsidP="00911ECD">
      <w:pPr>
        <w:pStyle w:val="Prrafodelista"/>
        <w:numPr>
          <w:ilvl w:val="1"/>
          <w:numId w:val="2"/>
        </w:numPr>
        <w:spacing w:after="0" w:line="240" w:lineRule="atLeast"/>
        <w:ind w:left="1560" w:hanging="426"/>
        <w:jc w:val="both"/>
      </w:pPr>
      <w:r w:rsidRPr="0023137F">
        <w:t xml:space="preserve">Corrector de origen. </w:t>
      </w:r>
    </w:p>
    <w:p w:rsidR="0023137F" w:rsidRPr="0023137F" w:rsidRDefault="0023137F" w:rsidP="00947821">
      <w:pPr>
        <w:pStyle w:val="Prrafodelista"/>
        <w:spacing w:after="0" w:line="240" w:lineRule="atLeast"/>
        <w:ind w:left="1788"/>
        <w:jc w:val="both"/>
      </w:pPr>
    </w:p>
    <w:p w:rsidR="00BE2F9D" w:rsidRPr="00911ECD" w:rsidRDefault="00BE2F9D" w:rsidP="00947821">
      <w:pPr>
        <w:pStyle w:val="Prrafodelista"/>
        <w:numPr>
          <w:ilvl w:val="0"/>
          <w:numId w:val="2"/>
        </w:numPr>
        <w:spacing w:after="0" w:line="240" w:lineRule="atLeast"/>
        <w:ind w:left="1068"/>
        <w:jc w:val="both"/>
        <w:rPr>
          <w:b/>
        </w:rPr>
      </w:pPr>
      <w:r w:rsidRPr="00911ECD">
        <w:rPr>
          <w:b/>
        </w:rPr>
        <w:t>Sellos</w:t>
      </w:r>
      <w:r w:rsidR="0023137F" w:rsidRPr="00911ECD">
        <w:rPr>
          <w:b/>
        </w:rPr>
        <w:t>:</w:t>
      </w:r>
    </w:p>
    <w:p w:rsidR="0023137F" w:rsidRPr="0023137F" w:rsidRDefault="0023137F" w:rsidP="00911ECD">
      <w:pPr>
        <w:pStyle w:val="Prrafodelista"/>
        <w:numPr>
          <w:ilvl w:val="1"/>
          <w:numId w:val="2"/>
        </w:numPr>
        <w:spacing w:after="0" w:line="240" w:lineRule="atLeast"/>
        <w:ind w:left="1560" w:hanging="426"/>
        <w:jc w:val="both"/>
      </w:pPr>
      <w:r w:rsidRPr="0023137F">
        <w:t>Conocimiento de embarque corregido</w:t>
      </w:r>
    </w:p>
    <w:p w:rsidR="0023137F" w:rsidRPr="0023137F" w:rsidRDefault="0023137F" w:rsidP="00911ECD">
      <w:pPr>
        <w:pStyle w:val="Prrafodelista"/>
        <w:numPr>
          <w:ilvl w:val="1"/>
          <w:numId w:val="2"/>
        </w:numPr>
        <w:spacing w:after="0" w:line="240" w:lineRule="atLeast"/>
        <w:ind w:left="1560" w:hanging="426"/>
        <w:jc w:val="both"/>
      </w:pPr>
      <w:r w:rsidRPr="0023137F">
        <w:t xml:space="preserve">Corrector de origen. </w:t>
      </w:r>
    </w:p>
    <w:p w:rsidR="00F04EB1" w:rsidRPr="0023137F" w:rsidRDefault="00F04EB1" w:rsidP="00947821">
      <w:pPr>
        <w:pStyle w:val="Prrafodelista"/>
        <w:spacing w:after="0" w:line="240" w:lineRule="atLeast"/>
        <w:ind w:left="1068"/>
        <w:jc w:val="both"/>
      </w:pPr>
    </w:p>
    <w:p w:rsidR="003D2C74" w:rsidRPr="00911ECD" w:rsidRDefault="003D2C74" w:rsidP="00947821">
      <w:pPr>
        <w:pStyle w:val="Prrafodelista"/>
        <w:numPr>
          <w:ilvl w:val="0"/>
          <w:numId w:val="2"/>
        </w:numPr>
        <w:spacing w:after="0" w:line="240" w:lineRule="atLeast"/>
        <w:ind w:left="1068"/>
        <w:jc w:val="both"/>
        <w:rPr>
          <w:b/>
        </w:rPr>
      </w:pPr>
      <w:r w:rsidRPr="00911ECD">
        <w:rPr>
          <w:b/>
        </w:rPr>
        <w:t>Emisor del Conocimiento de Embarque</w:t>
      </w:r>
      <w:r w:rsidR="00F04EB1" w:rsidRPr="00911ECD">
        <w:rPr>
          <w:b/>
        </w:rPr>
        <w:t>:</w:t>
      </w:r>
    </w:p>
    <w:p w:rsidR="0023137F" w:rsidRPr="0023137F" w:rsidRDefault="0023137F" w:rsidP="00911ECD">
      <w:pPr>
        <w:pStyle w:val="Prrafodelista"/>
        <w:numPr>
          <w:ilvl w:val="1"/>
          <w:numId w:val="2"/>
        </w:numPr>
        <w:spacing w:after="0" w:line="240" w:lineRule="atLeast"/>
        <w:ind w:left="1560" w:hanging="426"/>
        <w:jc w:val="both"/>
      </w:pPr>
      <w:r w:rsidRPr="0023137F">
        <w:t>Conocimiento de embarque corregido</w:t>
      </w:r>
    </w:p>
    <w:p w:rsidR="0023137F" w:rsidRPr="0023137F" w:rsidRDefault="0023137F" w:rsidP="00947821">
      <w:pPr>
        <w:pStyle w:val="Prrafodelista"/>
        <w:spacing w:after="0" w:line="240" w:lineRule="atLeast"/>
        <w:ind w:left="1788"/>
        <w:jc w:val="both"/>
      </w:pPr>
    </w:p>
    <w:p w:rsidR="003D2C74" w:rsidRPr="00911ECD" w:rsidRDefault="00F04EB1" w:rsidP="00947821">
      <w:pPr>
        <w:pStyle w:val="Prrafodelista"/>
        <w:numPr>
          <w:ilvl w:val="0"/>
          <w:numId w:val="2"/>
        </w:numPr>
        <w:spacing w:after="0" w:line="240" w:lineRule="atLeast"/>
        <w:ind w:left="1068"/>
        <w:jc w:val="both"/>
        <w:rPr>
          <w:b/>
        </w:rPr>
      </w:pPr>
      <w:r w:rsidRPr="00911ECD">
        <w:rPr>
          <w:b/>
        </w:rPr>
        <w:t>Cambio en el s</w:t>
      </w:r>
      <w:r w:rsidR="003D2C74" w:rsidRPr="00911ECD">
        <w:rPr>
          <w:b/>
        </w:rPr>
        <w:t>entido de la operación</w:t>
      </w:r>
      <w:r w:rsidRPr="00911ECD">
        <w:rPr>
          <w:b/>
        </w:rPr>
        <w:t>:</w:t>
      </w:r>
      <w:r w:rsidR="003D2C74" w:rsidRPr="00911ECD">
        <w:rPr>
          <w:b/>
        </w:rPr>
        <w:t xml:space="preserve"> </w:t>
      </w:r>
    </w:p>
    <w:p w:rsidR="00F04EB1" w:rsidRPr="0023137F" w:rsidRDefault="00F04EB1" w:rsidP="00911ECD">
      <w:pPr>
        <w:pStyle w:val="Prrafodelista"/>
        <w:numPr>
          <w:ilvl w:val="1"/>
          <w:numId w:val="2"/>
        </w:numPr>
        <w:spacing w:after="0" w:line="240" w:lineRule="atLeast"/>
        <w:ind w:left="1560" w:hanging="426"/>
        <w:jc w:val="both"/>
      </w:pPr>
      <w:r w:rsidRPr="0023137F">
        <w:t>Carta de responsabilidad del consignatario, agente naviero o forwarder, solicitando el respectivo cambio bajo su responsabilidad.</w:t>
      </w:r>
    </w:p>
    <w:p w:rsidR="00F04EB1" w:rsidRPr="0023137F" w:rsidRDefault="00F04EB1" w:rsidP="00911ECD">
      <w:pPr>
        <w:pStyle w:val="Prrafodelista"/>
        <w:numPr>
          <w:ilvl w:val="1"/>
          <w:numId w:val="2"/>
        </w:numPr>
        <w:ind w:left="1560" w:hanging="426"/>
      </w:pPr>
      <w:r w:rsidRPr="0023137F">
        <w:lastRenderedPageBreak/>
        <w:t>Conocimiento de embarque corregido.</w:t>
      </w:r>
    </w:p>
    <w:p w:rsidR="00F04EB1" w:rsidRPr="0023137F" w:rsidRDefault="00F04EB1" w:rsidP="00911ECD">
      <w:pPr>
        <w:pStyle w:val="Prrafodelista"/>
        <w:numPr>
          <w:ilvl w:val="1"/>
          <w:numId w:val="2"/>
        </w:numPr>
        <w:ind w:left="1560" w:hanging="426"/>
      </w:pPr>
      <w:r w:rsidRPr="0023137F">
        <w:t>Papeleta de recepción.</w:t>
      </w:r>
    </w:p>
    <w:p w:rsidR="00F04EB1" w:rsidRPr="0023137F" w:rsidRDefault="00F04EB1" w:rsidP="00947821">
      <w:pPr>
        <w:pStyle w:val="Prrafodelista"/>
        <w:spacing w:after="0" w:line="240" w:lineRule="atLeast"/>
        <w:ind w:left="1068"/>
        <w:jc w:val="both"/>
      </w:pPr>
    </w:p>
    <w:p w:rsidR="003D2C74" w:rsidRPr="00911ECD" w:rsidRDefault="00F04EB1" w:rsidP="00947821">
      <w:pPr>
        <w:pStyle w:val="Prrafodelista"/>
        <w:numPr>
          <w:ilvl w:val="0"/>
          <w:numId w:val="2"/>
        </w:numPr>
        <w:spacing w:after="0" w:line="240" w:lineRule="atLeast"/>
        <w:ind w:left="1068"/>
        <w:jc w:val="both"/>
        <w:rPr>
          <w:b/>
        </w:rPr>
      </w:pPr>
      <w:r w:rsidRPr="00911ECD">
        <w:rPr>
          <w:b/>
        </w:rPr>
        <w:t xml:space="preserve">Cambio de </w:t>
      </w:r>
      <w:r w:rsidR="003D2C74" w:rsidRPr="00911ECD">
        <w:rPr>
          <w:b/>
        </w:rPr>
        <w:t>Almacén, u</w:t>
      </w:r>
      <w:r w:rsidRPr="00911ECD">
        <w:rPr>
          <w:b/>
        </w:rPr>
        <w:t>na vez conformado el manifiesto:</w:t>
      </w:r>
    </w:p>
    <w:p w:rsidR="00F04EB1" w:rsidRPr="0023137F" w:rsidRDefault="00F04EB1" w:rsidP="00911ECD">
      <w:pPr>
        <w:pStyle w:val="Prrafodelista"/>
        <w:numPr>
          <w:ilvl w:val="1"/>
          <w:numId w:val="2"/>
        </w:numPr>
        <w:spacing w:after="0" w:line="240" w:lineRule="atLeast"/>
        <w:ind w:left="1418" w:hanging="284"/>
        <w:jc w:val="both"/>
      </w:pPr>
      <w:r w:rsidRPr="0023137F">
        <w:t>Carta de responsabilidad del consignatario, agente naviero o forwarder, solicitando el respectivo cambio bajo su responsabilidad.</w:t>
      </w:r>
    </w:p>
    <w:p w:rsidR="00F04EB1" w:rsidRPr="0023137F" w:rsidRDefault="00F04EB1" w:rsidP="00911ECD">
      <w:pPr>
        <w:pStyle w:val="Prrafodelista"/>
        <w:numPr>
          <w:ilvl w:val="1"/>
          <w:numId w:val="2"/>
        </w:numPr>
        <w:spacing w:after="0" w:line="240" w:lineRule="atLeast"/>
        <w:ind w:left="1418" w:hanging="284"/>
        <w:jc w:val="both"/>
      </w:pPr>
      <w:r w:rsidRPr="0023137F">
        <w:t>Papeleta de recepción si la M/N se presenta (24H) después  del zarpe de la nave</w:t>
      </w:r>
    </w:p>
    <w:p w:rsidR="00F04EB1" w:rsidRPr="0023137F" w:rsidRDefault="00F04EB1" w:rsidP="00F04EB1">
      <w:pPr>
        <w:pStyle w:val="Prrafodelista"/>
        <w:spacing w:after="0" w:line="240" w:lineRule="atLeast"/>
        <w:ind w:left="1440"/>
        <w:jc w:val="both"/>
      </w:pPr>
    </w:p>
    <w:p w:rsidR="003D2C74" w:rsidRDefault="003D2C74" w:rsidP="009D1CD2">
      <w:pPr>
        <w:ind w:left="708"/>
        <w:jc w:val="both"/>
      </w:pPr>
    </w:p>
    <w:p w:rsidR="00F469F9" w:rsidRDefault="00911ECD" w:rsidP="00911ECD">
      <w:pPr>
        <w:pStyle w:val="Prrafodelista"/>
        <w:numPr>
          <w:ilvl w:val="0"/>
          <w:numId w:val="5"/>
        </w:numPr>
        <w:jc w:val="both"/>
      </w:pPr>
      <w:r>
        <w:t>Estas instrucciones entrarán en vigencia a partir del 1 de junio de 2019.</w:t>
      </w:r>
    </w:p>
    <w:p w:rsidR="00375E1B" w:rsidRDefault="00375E1B" w:rsidP="009D1CD2">
      <w:pPr>
        <w:ind w:left="708"/>
        <w:jc w:val="both"/>
      </w:pPr>
    </w:p>
    <w:p w:rsidR="004A25B9" w:rsidRDefault="004A25B9" w:rsidP="009D1CD2">
      <w:pPr>
        <w:ind w:left="708"/>
        <w:jc w:val="both"/>
      </w:pPr>
    </w:p>
    <w:p w:rsidR="00E31427" w:rsidRDefault="00E31427" w:rsidP="009D1CD2">
      <w:pPr>
        <w:ind w:left="708"/>
        <w:jc w:val="both"/>
      </w:pPr>
    </w:p>
    <w:p w:rsidR="00F469F9" w:rsidRDefault="009D1CD2" w:rsidP="00375E1B">
      <w:pPr>
        <w:jc w:val="both"/>
        <w:rPr>
          <w:b/>
        </w:rPr>
      </w:pPr>
      <w:r w:rsidRPr="009D1CD2">
        <w:rPr>
          <w:b/>
        </w:rPr>
        <w:t>ANÓTESE, COMUNÍQUESE Y PUBLÍQUESE EN EL DIARIO OFICIAL Y EN LA PÁGINA WEB DEL SERVICIO</w:t>
      </w:r>
      <w:r w:rsidR="00E31427">
        <w:rPr>
          <w:b/>
        </w:rPr>
        <w:t>.</w:t>
      </w:r>
    </w:p>
    <w:p w:rsidR="00F469F9" w:rsidRDefault="00F469F9" w:rsidP="00056A89">
      <w:pPr>
        <w:rPr>
          <w:b/>
        </w:rPr>
      </w:pPr>
    </w:p>
    <w:p w:rsidR="0023137F" w:rsidRDefault="0023137F" w:rsidP="00056A89">
      <w:pPr>
        <w:rPr>
          <w:b/>
        </w:rPr>
      </w:pPr>
    </w:p>
    <w:p w:rsidR="0023137F" w:rsidRDefault="0023137F" w:rsidP="00056A89">
      <w:pPr>
        <w:rPr>
          <w:b/>
        </w:rPr>
      </w:pPr>
    </w:p>
    <w:p w:rsidR="00F469F9" w:rsidRPr="00375E1B" w:rsidRDefault="00F469F9" w:rsidP="00056A89"/>
    <w:p w:rsidR="00E31427" w:rsidRDefault="00F469F9" w:rsidP="00056A89">
      <w:pPr>
        <w:rPr>
          <w:sz w:val="16"/>
          <w:szCs w:val="16"/>
        </w:rPr>
      </w:pPr>
      <w:r w:rsidRPr="00911ECD">
        <w:rPr>
          <w:sz w:val="16"/>
          <w:szCs w:val="16"/>
        </w:rPr>
        <w:t xml:space="preserve">GLH/KCI/PSS/CIC </w:t>
      </w:r>
    </w:p>
    <w:p w:rsidR="00911ECD" w:rsidRPr="00911ECD" w:rsidRDefault="00911ECD" w:rsidP="00056A89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Archivo: Resolución modifica </w:t>
      </w:r>
    </w:p>
    <w:sectPr w:rsidR="00911ECD" w:rsidRPr="00911ECD" w:rsidSect="00F82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F3A" w:rsidRDefault="00945F3A" w:rsidP="00C94161">
      <w:pPr>
        <w:spacing w:after="0" w:line="240" w:lineRule="auto"/>
      </w:pPr>
      <w:r>
        <w:separator/>
      </w:r>
    </w:p>
  </w:endnote>
  <w:endnote w:type="continuationSeparator" w:id="0">
    <w:p w:rsidR="00945F3A" w:rsidRDefault="00945F3A" w:rsidP="00C9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1C" w:rsidRDefault="002D73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502" w:rsidRDefault="00F82502" w:rsidP="00F82502">
    <w:pPr>
      <w:pStyle w:val="Piedepgina"/>
      <w:tabs>
        <w:tab w:val="right" w:pos="10490"/>
      </w:tabs>
      <w:ind w:left="1276"/>
      <w:rPr>
        <w:rFonts w:ascii="Tahoma" w:hAnsi="Tahoma" w:cs="Tahoma"/>
        <w:color w:val="000000" w:themeColor="text1"/>
        <w:sz w:val="16"/>
        <w:szCs w:val="18"/>
      </w:rPr>
    </w:pPr>
  </w:p>
  <w:p w:rsidR="00F82502" w:rsidRDefault="00F82502" w:rsidP="00F82502">
    <w:pPr>
      <w:pStyle w:val="Piedepgina"/>
      <w:tabs>
        <w:tab w:val="right" w:pos="10490"/>
      </w:tabs>
      <w:ind w:left="1276"/>
      <w:rPr>
        <w:rFonts w:ascii="Tahoma" w:hAnsi="Tahoma" w:cs="Tahoma"/>
        <w:color w:val="000000" w:themeColor="text1"/>
        <w:sz w:val="16"/>
        <w:szCs w:val="18"/>
      </w:rPr>
    </w:pPr>
    <w:r w:rsidRPr="00160817">
      <w:rPr>
        <w:noProof/>
        <w:lang w:eastAsia="es-CL"/>
      </w:rPr>
      <w:drawing>
        <wp:anchor distT="0" distB="0" distL="114300" distR="114300" simplePos="0" relativeHeight="251661312" behindDoc="1" locked="0" layoutInCell="1" allowOverlap="1" wp14:anchorId="185C519F" wp14:editId="28B40C37">
          <wp:simplePos x="0" y="0"/>
          <wp:positionH relativeFrom="margin">
            <wp:posOffset>0</wp:posOffset>
          </wp:positionH>
          <wp:positionV relativeFrom="paragraph">
            <wp:posOffset>103175</wp:posOffset>
          </wp:positionV>
          <wp:extent cx="700405" cy="700405"/>
          <wp:effectExtent l="0" t="0" r="4445" b="4445"/>
          <wp:wrapNone/>
          <wp:docPr id="6" name="Picture 2" descr="vineta_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neta_inferi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502" w:rsidRPr="00634549" w:rsidRDefault="00F82502" w:rsidP="00F82502">
    <w:pPr>
      <w:pStyle w:val="Piedepgina"/>
      <w:tabs>
        <w:tab w:val="right" w:pos="10490"/>
      </w:tabs>
      <w:ind w:left="1276"/>
      <w:rPr>
        <w:rFonts w:ascii="Tahoma" w:hAnsi="Tahoma" w:cs="Tahoma"/>
        <w:color w:val="000000" w:themeColor="text1"/>
        <w:sz w:val="16"/>
        <w:szCs w:val="18"/>
      </w:rPr>
    </w:pPr>
    <w:r w:rsidRPr="00634549">
      <w:rPr>
        <w:rFonts w:ascii="Tahoma" w:hAnsi="Tahoma" w:cs="Tahoma"/>
        <w:color w:val="000000" w:themeColor="text1"/>
        <w:sz w:val="16"/>
        <w:szCs w:val="18"/>
      </w:rPr>
      <w:t>Servicio Nacional de Aduanas, Chile</w:t>
    </w:r>
  </w:p>
  <w:p w:rsidR="00F82502" w:rsidRPr="00634549" w:rsidRDefault="00F82502" w:rsidP="00F82502">
    <w:pPr>
      <w:pStyle w:val="Piedepgina"/>
      <w:tabs>
        <w:tab w:val="right" w:pos="10490"/>
      </w:tabs>
      <w:ind w:left="1276"/>
      <w:rPr>
        <w:rFonts w:ascii="Tahoma" w:hAnsi="Tahoma" w:cs="Tahoma"/>
        <w:color w:val="000000" w:themeColor="text1"/>
        <w:sz w:val="16"/>
        <w:szCs w:val="18"/>
      </w:rPr>
    </w:pPr>
    <w:r w:rsidRPr="00634549">
      <w:rPr>
        <w:rFonts w:ascii="Tahoma" w:hAnsi="Tahoma" w:cs="Tahoma"/>
        <w:color w:val="000000" w:themeColor="text1"/>
        <w:sz w:val="16"/>
        <w:szCs w:val="18"/>
      </w:rPr>
      <w:t xml:space="preserve">Plaza Sotomayor Nº 60, </w:t>
    </w:r>
    <w:r w:rsidRPr="00634549">
      <w:rPr>
        <w:rFonts w:ascii="Tahoma" w:hAnsi="Tahoma" w:cs="Tahoma"/>
        <w:color w:val="000000" w:themeColor="text1"/>
        <w:sz w:val="16"/>
        <w:szCs w:val="18"/>
      </w:rPr>
      <w:br/>
      <w:t>Valparaíso / Chile</w:t>
    </w:r>
  </w:p>
  <w:p w:rsidR="00F82502" w:rsidRPr="00634549" w:rsidRDefault="00F82502" w:rsidP="00F82502">
    <w:pPr>
      <w:pStyle w:val="Piedepgina"/>
      <w:tabs>
        <w:tab w:val="right" w:pos="10490"/>
      </w:tabs>
      <w:ind w:left="1276"/>
      <w:rPr>
        <w:rFonts w:ascii="Tahoma" w:hAnsi="Tahoma" w:cs="Tahoma"/>
        <w:color w:val="000000" w:themeColor="text1"/>
        <w:sz w:val="16"/>
      </w:rPr>
    </w:pPr>
    <w:r>
      <w:rPr>
        <w:rFonts w:ascii="Tahoma" w:hAnsi="Tahoma" w:cs="Tahoma"/>
        <w:color w:val="000000" w:themeColor="text1"/>
        <w:sz w:val="16"/>
        <w:szCs w:val="18"/>
      </w:rPr>
      <w:t>Teléfono (32) 2134571</w:t>
    </w:r>
  </w:p>
  <w:p w:rsidR="00F82502" w:rsidRDefault="00F82502">
    <w:pPr>
      <w:pStyle w:val="Piedepgina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1C" w:rsidRDefault="002D73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F3A" w:rsidRDefault="00945F3A" w:rsidP="00C94161">
      <w:pPr>
        <w:spacing w:after="0" w:line="240" w:lineRule="auto"/>
      </w:pPr>
      <w:r>
        <w:separator/>
      </w:r>
    </w:p>
  </w:footnote>
  <w:footnote w:type="continuationSeparator" w:id="0">
    <w:p w:rsidR="00945F3A" w:rsidRDefault="00945F3A" w:rsidP="00C9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1C" w:rsidRDefault="002D73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61" w:rsidRDefault="002D731C" w:rsidP="00C94161">
    <w:pPr>
      <w:ind w:left="708" w:firstLine="708"/>
      <w:jc w:val="both"/>
      <w:rPr>
        <w:rFonts w:ascii="Tahoma" w:eastAsia="SimSun" w:hAnsi="Tahoma" w:cs="Tahoma"/>
        <w:sz w:val="16"/>
      </w:rPr>
    </w:pPr>
    <w:sdt>
      <w:sdtPr>
        <w:rPr>
          <w:rFonts w:ascii="Tahoma" w:eastAsia="SimSun" w:hAnsi="Tahoma" w:cs="Tahoma"/>
          <w:sz w:val="16"/>
        </w:rPr>
        <w:id w:val="30543012"/>
        <w:docPartObj>
          <w:docPartGallery w:val="Watermarks"/>
          <w:docPartUnique/>
        </w:docPartObj>
      </w:sdtPr>
      <w:sdtContent>
        <w:r w:rsidRPr="002D731C">
          <w:rPr>
            <w:rFonts w:ascii="Tahoma" w:eastAsia="SimSun" w:hAnsi="Tahoma" w:cs="Tahoma"/>
            <w:sz w:val="16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left:0;text-align:left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C94161" w:rsidRPr="00160817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B7159CB" wp14:editId="168E658A">
          <wp:simplePos x="0" y="0"/>
          <wp:positionH relativeFrom="column">
            <wp:posOffset>-268148</wp:posOffset>
          </wp:positionH>
          <wp:positionV relativeFrom="paragraph">
            <wp:posOffset>11278</wp:posOffset>
          </wp:positionV>
          <wp:extent cx="680313" cy="680313"/>
          <wp:effectExtent l="0" t="0" r="5715" b="5715"/>
          <wp:wrapNone/>
          <wp:docPr id="2" name="Picture 1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ia_500p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90" cy="6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161" w:rsidRDefault="00C94161" w:rsidP="00C94161">
    <w:pPr>
      <w:ind w:left="708" w:firstLine="708"/>
      <w:jc w:val="both"/>
      <w:rPr>
        <w:rFonts w:ascii="Tahoma" w:eastAsia="SimSun" w:hAnsi="Tahoma" w:cs="Tahoma"/>
        <w:sz w:val="16"/>
      </w:rPr>
    </w:pPr>
  </w:p>
  <w:p w:rsidR="00C94161" w:rsidRPr="000760BF" w:rsidRDefault="00C94161" w:rsidP="00F82502">
    <w:pPr>
      <w:tabs>
        <w:tab w:val="left" w:pos="3686"/>
      </w:tabs>
      <w:spacing w:after="0" w:line="240" w:lineRule="auto"/>
      <w:ind w:left="709"/>
      <w:jc w:val="both"/>
      <w:rPr>
        <w:rFonts w:ascii="Tahoma" w:eastAsia="SimSun" w:hAnsi="Tahoma" w:cs="Tahoma"/>
        <w:sz w:val="16"/>
      </w:rPr>
    </w:pPr>
    <w:r w:rsidRPr="000760BF">
      <w:rPr>
        <w:rFonts w:ascii="Tahoma" w:eastAsia="SimSun" w:hAnsi="Tahoma" w:cs="Tahoma"/>
        <w:sz w:val="16"/>
      </w:rPr>
      <w:t>SUBDIRECCIÓN TÉCNICA.</w:t>
    </w:r>
    <w:r>
      <w:rPr>
        <w:rFonts w:ascii="Tahoma" w:eastAsia="SimSun" w:hAnsi="Tahoma" w:cs="Tahoma"/>
        <w:sz w:val="16"/>
      </w:rPr>
      <w:tab/>
    </w:r>
  </w:p>
  <w:p w:rsidR="00C94161" w:rsidRPr="000760BF" w:rsidRDefault="00C94161" w:rsidP="00F82502">
    <w:pPr>
      <w:spacing w:after="0" w:line="240" w:lineRule="auto"/>
      <w:ind w:left="709"/>
      <w:jc w:val="both"/>
      <w:rPr>
        <w:sz w:val="20"/>
      </w:rPr>
    </w:pPr>
    <w:r w:rsidRPr="000760BF">
      <w:rPr>
        <w:rFonts w:ascii="Tahoma" w:eastAsia="SimSun" w:hAnsi="Tahoma" w:cs="Tahoma"/>
        <w:sz w:val="16"/>
      </w:rPr>
      <w:t>DEPTO. DE PROCESOS Y NORMAS ADUANERAS</w:t>
    </w:r>
    <w:r w:rsidRPr="000760BF">
      <w:rPr>
        <w:rFonts w:ascii="Tahoma" w:eastAsia="SimSun" w:hAnsi="Tahoma" w:cs="Tahoma"/>
        <w:b/>
        <w:sz w:val="16"/>
      </w:rPr>
      <w:t>.</w:t>
    </w:r>
  </w:p>
  <w:p w:rsidR="00C94161" w:rsidRDefault="00C9416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1C" w:rsidRDefault="002D73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04E16"/>
    <w:multiLevelType w:val="hybridMultilevel"/>
    <w:tmpl w:val="BEF0A13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40A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6429D"/>
    <w:multiLevelType w:val="multilevel"/>
    <w:tmpl w:val="FF12E334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3B574441"/>
    <w:multiLevelType w:val="hybridMultilevel"/>
    <w:tmpl w:val="758E4EE6"/>
    <w:lvl w:ilvl="0" w:tplc="BE3A5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D50F8"/>
    <w:multiLevelType w:val="hybridMultilevel"/>
    <w:tmpl w:val="19AE8480"/>
    <w:lvl w:ilvl="0" w:tplc="FE325ED6">
      <w:start w:val="2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11532"/>
    <w:multiLevelType w:val="hybridMultilevel"/>
    <w:tmpl w:val="A928E6CE"/>
    <w:lvl w:ilvl="0" w:tplc="340A001B">
      <w:start w:val="1"/>
      <w:numFmt w:val="lowerRoman"/>
      <w:lvlText w:val="%1."/>
      <w:lvlJc w:val="righ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61"/>
    <w:rsid w:val="00056A89"/>
    <w:rsid w:val="000D3520"/>
    <w:rsid w:val="00103C43"/>
    <w:rsid w:val="001647FE"/>
    <w:rsid w:val="0023137F"/>
    <w:rsid w:val="002D731C"/>
    <w:rsid w:val="002E2A15"/>
    <w:rsid w:val="0030750E"/>
    <w:rsid w:val="003401C1"/>
    <w:rsid w:val="00375E1B"/>
    <w:rsid w:val="003D2C74"/>
    <w:rsid w:val="00435C56"/>
    <w:rsid w:val="004A25B9"/>
    <w:rsid w:val="00521B64"/>
    <w:rsid w:val="00527089"/>
    <w:rsid w:val="00585A2C"/>
    <w:rsid w:val="005F2842"/>
    <w:rsid w:val="00673305"/>
    <w:rsid w:val="006A5F6E"/>
    <w:rsid w:val="007C79BE"/>
    <w:rsid w:val="00911ECD"/>
    <w:rsid w:val="00921F64"/>
    <w:rsid w:val="00945F3A"/>
    <w:rsid w:val="00947821"/>
    <w:rsid w:val="0095412E"/>
    <w:rsid w:val="009D1CD2"/>
    <w:rsid w:val="009D639A"/>
    <w:rsid w:val="00AB399D"/>
    <w:rsid w:val="00AF319B"/>
    <w:rsid w:val="00BE2F9D"/>
    <w:rsid w:val="00C11B37"/>
    <w:rsid w:val="00C52113"/>
    <w:rsid w:val="00C87CDD"/>
    <w:rsid w:val="00C94161"/>
    <w:rsid w:val="00CF0C5F"/>
    <w:rsid w:val="00CF6625"/>
    <w:rsid w:val="00D05B26"/>
    <w:rsid w:val="00D6074D"/>
    <w:rsid w:val="00DB5E93"/>
    <w:rsid w:val="00DF388A"/>
    <w:rsid w:val="00E31427"/>
    <w:rsid w:val="00F04EB1"/>
    <w:rsid w:val="00F469F9"/>
    <w:rsid w:val="00F8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  <w15:chartTrackingRefBased/>
  <w15:docId w15:val="{59367F92-EE19-4DAB-8659-DB0040A3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4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161"/>
  </w:style>
  <w:style w:type="paragraph" w:styleId="Piedepgina">
    <w:name w:val="footer"/>
    <w:basedOn w:val="Normal"/>
    <w:link w:val="PiedepginaCar"/>
    <w:uiPriority w:val="99"/>
    <w:unhideWhenUsed/>
    <w:rsid w:val="00C94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161"/>
  </w:style>
  <w:style w:type="paragraph" w:styleId="Prrafodelista">
    <w:name w:val="List Paragraph"/>
    <w:basedOn w:val="Normal"/>
    <w:uiPriority w:val="34"/>
    <w:qFormat/>
    <w:rsid w:val="0005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3579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Isla Sanchez</dc:creator>
  <cp:keywords/>
  <dc:description/>
  <cp:lastModifiedBy>Leticia Baquedano Duran</cp:lastModifiedBy>
  <cp:revision>2</cp:revision>
  <cp:lastPrinted>2019-04-25T18:47:00Z</cp:lastPrinted>
  <dcterms:created xsi:type="dcterms:W3CDTF">2019-05-06T18:52:00Z</dcterms:created>
  <dcterms:modified xsi:type="dcterms:W3CDTF">2019-05-06T18:52:00Z</dcterms:modified>
</cp:coreProperties>
</file>