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80A0" w14:textId="77777777" w:rsidR="008B18FA" w:rsidRDefault="00D732B0" w:rsidP="00932BCC">
      <w:pPr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sz w:val="22"/>
          <w:szCs w:val="22"/>
        </w:rPr>
        <w:softHyphen/>
      </w:r>
      <w:r w:rsidR="00932BCC">
        <w:rPr>
          <w:rFonts w:ascii="Tahoma" w:hAnsi="Tahoma" w:cs="Tahoma"/>
          <w:sz w:val="22"/>
          <w:szCs w:val="22"/>
        </w:rPr>
        <w:tab/>
      </w:r>
      <w:r w:rsidR="00932BCC">
        <w:rPr>
          <w:rFonts w:ascii="Tahoma" w:hAnsi="Tahoma" w:cs="Tahoma"/>
          <w:sz w:val="22"/>
          <w:szCs w:val="22"/>
        </w:rPr>
        <w:tab/>
      </w:r>
      <w:r w:rsidR="00932BCC">
        <w:rPr>
          <w:rFonts w:ascii="Tahoma" w:hAnsi="Tahoma" w:cs="Tahoma"/>
          <w:sz w:val="22"/>
          <w:szCs w:val="22"/>
        </w:rPr>
        <w:tab/>
      </w:r>
      <w:r w:rsidR="00932BCC">
        <w:rPr>
          <w:rFonts w:ascii="Tahoma" w:hAnsi="Tahoma" w:cs="Tahoma"/>
          <w:sz w:val="22"/>
          <w:szCs w:val="22"/>
        </w:rPr>
        <w:tab/>
      </w:r>
      <w:r w:rsidR="00932BCC">
        <w:rPr>
          <w:rFonts w:ascii="Tahoma" w:hAnsi="Tahoma" w:cs="Tahoma"/>
          <w:sz w:val="22"/>
          <w:szCs w:val="22"/>
        </w:rPr>
        <w:tab/>
      </w:r>
    </w:p>
    <w:p w14:paraId="24ECB377" w14:textId="230B27E9" w:rsidR="001D3405" w:rsidRDefault="001D3405" w:rsidP="008B18FA">
      <w:pPr>
        <w:ind w:left="2832" w:firstLine="708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RESOLUCIÓN EXENTA N°</w:t>
      </w:r>
    </w:p>
    <w:p w14:paraId="7A133D70" w14:textId="77777777" w:rsidR="007032AF" w:rsidRDefault="007032AF" w:rsidP="00932BCC">
      <w:pPr>
        <w:rPr>
          <w:rFonts w:ascii="Tahoma" w:hAnsi="Tahoma" w:cs="Tahoma"/>
          <w:sz w:val="22"/>
          <w:szCs w:val="22"/>
        </w:rPr>
      </w:pPr>
    </w:p>
    <w:p w14:paraId="3A3AD2DE" w14:textId="77777777" w:rsidR="006312B4" w:rsidRPr="00932BCC" w:rsidRDefault="006312B4" w:rsidP="00932BCC">
      <w:pPr>
        <w:rPr>
          <w:rFonts w:ascii="Tahoma" w:hAnsi="Tahoma" w:cs="Tahoma"/>
          <w:sz w:val="22"/>
          <w:szCs w:val="22"/>
        </w:rPr>
      </w:pPr>
    </w:p>
    <w:p w14:paraId="27AD97CD" w14:textId="1CD2975F" w:rsidR="001D3405" w:rsidRPr="008F0CAF" w:rsidRDefault="007032AF" w:rsidP="001D340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F0CAF">
        <w:rPr>
          <w:rFonts w:ascii="Tahoma" w:hAnsi="Tahoma" w:cs="Tahoma"/>
          <w:b/>
          <w:sz w:val="22"/>
          <w:szCs w:val="22"/>
        </w:rPr>
        <w:t>VALPARAISO,</w:t>
      </w:r>
    </w:p>
    <w:p w14:paraId="49A55675" w14:textId="77777777" w:rsidR="001D3405" w:rsidRDefault="001D3405" w:rsidP="001D3405">
      <w:pPr>
        <w:rPr>
          <w:rFonts w:ascii="Tahoma" w:hAnsi="Tahoma" w:cs="Tahoma"/>
          <w:sz w:val="22"/>
          <w:szCs w:val="22"/>
        </w:rPr>
      </w:pPr>
    </w:p>
    <w:p w14:paraId="7DB85886" w14:textId="77777777" w:rsidR="006312B4" w:rsidRDefault="006312B4" w:rsidP="001D3405">
      <w:pPr>
        <w:rPr>
          <w:rFonts w:ascii="Tahoma" w:hAnsi="Tahoma" w:cs="Tahoma"/>
          <w:sz w:val="22"/>
          <w:szCs w:val="22"/>
        </w:rPr>
      </w:pPr>
    </w:p>
    <w:p w14:paraId="369914E5" w14:textId="77777777" w:rsidR="008B18FA" w:rsidRPr="000816DC" w:rsidRDefault="008B18FA" w:rsidP="001D3405">
      <w:pPr>
        <w:rPr>
          <w:rFonts w:ascii="Tahoma" w:hAnsi="Tahoma" w:cs="Tahoma"/>
          <w:sz w:val="22"/>
          <w:szCs w:val="22"/>
        </w:rPr>
      </w:pPr>
    </w:p>
    <w:p w14:paraId="0737480A" w14:textId="77777777" w:rsidR="001D3405" w:rsidRDefault="001D3405" w:rsidP="001D3405">
      <w:pPr>
        <w:ind w:left="2832" w:firstLine="708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VISTOS:</w:t>
      </w:r>
    </w:p>
    <w:p w14:paraId="3BBD2578" w14:textId="77777777" w:rsidR="001D3405" w:rsidRPr="000816DC" w:rsidRDefault="001D3405" w:rsidP="001D3405">
      <w:pPr>
        <w:rPr>
          <w:rFonts w:ascii="Tahoma" w:hAnsi="Tahoma" w:cs="Tahoma"/>
          <w:b/>
          <w:sz w:val="22"/>
          <w:szCs w:val="22"/>
        </w:rPr>
      </w:pPr>
    </w:p>
    <w:p w14:paraId="625331C0" w14:textId="0FC28CE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4E27B9">
        <w:rPr>
          <w:rFonts w:ascii="Tahoma" w:hAnsi="Tahoma" w:cs="Tahoma"/>
          <w:sz w:val="22"/>
          <w:szCs w:val="22"/>
        </w:rPr>
        <w:t xml:space="preserve">Lo dispuesto en el </w:t>
      </w:r>
      <w:r w:rsidR="00003419">
        <w:rPr>
          <w:rFonts w:ascii="Tahoma" w:hAnsi="Tahoma" w:cs="Tahoma"/>
          <w:sz w:val="22"/>
          <w:szCs w:val="22"/>
        </w:rPr>
        <w:t>D</w:t>
      </w:r>
      <w:r w:rsidRPr="004E27B9">
        <w:rPr>
          <w:rFonts w:ascii="Tahoma" w:hAnsi="Tahoma" w:cs="Tahoma"/>
          <w:sz w:val="22"/>
          <w:szCs w:val="22"/>
        </w:rPr>
        <w:t>ecreto</w:t>
      </w:r>
      <w:r w:rsidR="00003419">
        <w:rPr>
          <w:rFonts w:ascii="Tahoma" w:hAnsi="Tahoma" w:cs="Tahoma"/>
          <w:sz w:val="22"/>
          <w:szCs w:val="22"/>
        </w:rPr>
        <w:t xml:space="preserve"> Supremo</w:t>
      </w:r>
      <w:r w:rsidRPr="004E27B9">
        <w:rPr>
          <w:rFonts w:ascii="Tahoma" w:hAnsi="Tahoma" w:cs="Tahoma"/>
          <w:sz w:val="22"/>
          <w:szCs w:val="22"/>
        </w:rPr>
        <w:t xml:space="preserve"> N° 16, de 1995, del Ministerio de Relaciones Exteriores, que promulga el "Acuerdo de Marrakech", por el que se establece la Organización Mundial del Comercio, y los Acuerdos Anexos que se indican, entre los que se encuentran el Acuerdo General sobre Aranceles Aduaneros y Comercio de 1994, también denominado "GATT de 1994" y el Acuerdo relativo a la aplicación del artículo VII del Acuerdo General sobre Aranceles Aduaneros y Comercio de 1994.</w:t>
      </w:r>
    </w:p>
    <w:p w14:paraId="040ADBCF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2F9F467A" w14:textId="5384AD86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 xml:space="preserve">os </w:t>
      </w:r>
      <w:r w:rsidR="00003419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ecretos con </w:t>
      </w:r>
      <w:r>
        <w:rPr>
          <w:rFonts w:ascii="Tahoma" w:hAnsi="Tahoma" w:cs="Tahoma"/>
          <w:sz w:val="22"/>
          <w:szCs w:val="22"/>
        </w:rPr>
        <w:t>f</w:t>
      </w:r>
      <w:r w:rsidRPr="000816DC">
        <w:rPr>
          <w:rFonts w:ascii="Tahoma" w:hAnsi="Tahoma" w:cs="Tahoma"/>
          <w:sz w:val="22"/>
          <w:szCs w:val="22"/>
        </w:rPr>
        <w:t xml:space="preserve">uerza de </w:t>
      </w: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>ey N</w:t>
      </w:r>
      <w:r w:rsidRPr="004E27B9">
        <w:rPr>
          <w:rFonts w:ascii="Tahoma" w:hAnsi="Tahoma" w:cs="Tahoma"/>
          <w:sz w:val="22"/>
          <w:szCs w:val="22"/>
          <w:vertAlign w:val="superscript"/>
        </w:rPr>
        <w:t>os</w:t>
      </w:r>
      <w:r w:rsidRPr="000816DC">
        <w:rPr>
          <w:rFonts w:ascii="Tahoma" w:hAnsi="Tahoma" w:cs="Tahoma"/>
          <w:sz w:val="22"/>
          <w:szCs w:val="22"/>
        </w:rPr>
        <w:t xml:space="preserve"> 30 y 31, ambos del 2004, del Ministerio de Hacienda, que fijan los textos refundidos, coordinados y sistematizados</w:t>
      </w:r>
      <w:r w:rsidR="007032AF">
        <w:rPr>
          <w:rFonts w:ascii="Tahoma" w:hAnsi="Tahoma" w:cs="Tahoma"/>
          <w:sz w:val="22"/>
          <w:szCs w:val="22"/>
        </w:rPr>
        <w:t>, del DFL N° 213,</w:t>
      </w:r>
      <w:r w:rsidRPr="000816DC">
        <w:rPr>
          <w:rFonts w:ascii="Tahoma" w:hAnsi="Tahoma" w:cs="Tahoma"/>
          <w:sz w:val="22"/>
          <w:szCs w:val="22"/>
        </w:rPr>
        <w:t xml:space="preserve"> </w:t>
      </w:r>
      <w:r w:rsidR="007032AF">
        <w:rPr>
          <w:rFonts w:ascii="Tahoma" w:hAnsi="Tahoma" w:cs="Tahoma"/>
          <w:sz w:val="22"/>
          <w:szCs w:val="22"/>
        </w:rPr>
        <w:t>sobre</w:t>
      </w:r>
      <w:r w:rsidRPr="000816DC">
        <w:rPr>
          <w:rFonts w:ascii="Tahoma" w:hAnsi="Tahoma" w:cs="Tahoma"/>
          <w:sz w:val="22"/>
          <w:szCs w:val="22"/>
        </w:rPr>
        <w:t xml:space="preserve"> Ordenanza de Aduanas y de la </w:t>
      </w:r>
      <w:r>
        <w:rPr>
          <w:rFonts w:ascii="Tahoma" w:hAnsi="Tahoma" w:cs="Tahoma"/>
          <w:sz w:val="22"/>
          <w:szCs w:val="22"/>
        </w:rPr>
        <w:t>l</w:t>
      </w:r>
      <w:r w:rsidRPr="000816DC">
        <w:rPr>
          <w:rFonts w:ascii="Tahoma" w:hAnsi="Tahoma" w:cs="Tahoma"/>
          <w:sz w:val="22"/>
          <w:szCs w:val="22"/>
        </w:rPr>
        <w:t>ey N° 18.525</w:t>
      </w:r>
      <w:r>
        <w:rPr>
          <w:rFonts w:ascii="Tahoma" w:hAnsi="Tahoma" w:cs="Tahoma"/>
          <w:sz w:val="22"/>
          <w:szCs w:val="22"/>
        </w:rPr>
        <w:t>, que establece Normas Sobre Importación de Mercancías al País</w:t>
      </w:r>
      <w:r w:rsidRPr="000816DC">
        <w:rPr>
          <w:rFonts w:ascii="Tahoma" w:hAnsi="Tahoma" w:cs="Tahoma"/>
          <w:sz w:val="22"/>
          <w:szCs w:val="22"/>
        </w:rPr>
        <w:t>, respectivamente</w:t>
      </w:r>
      <w:r>
        <w:rPr>
          <w:rFonts w:ascii="Tahoma" w:hAnsi="Tahoma" w:cs="Tahoma"/>
          <w:sz w:val="22"/>
          <w:szCs w:val="22"/>
        </w:rPr>
        <w:t>.</w:t>
      </w:r>
    </w:p>
    <w:p w14:paraId="0C5F8B98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487AEE74" w14:textId="2BD4C93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0816DC">
        <w:rPr>
          <w:rFonts w:ascii="Tahoma" w:hAnsi="Tahoma" w:cs="Tahoma"/>
          <w:sz w:val="22"/>
          <w:szCs w:val="22"/>
        </w:rPr>
        <w:t xml:space="preserve">l </w:t>
      </w:r>
      <w:r w:rsidR="00003419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 </w:t>
      </w:r>
      <w:r>
        <w:rPr>
          <w:rFonts w:ascii="Tahoma" w:hAnsi="Tahoma" w:cs="Tahoma"/>
          <w:sz w:val="22"/>
          <w:szCs w:val="22"/>
        </w:rPr>
        <w:t xml:space="preserve">con fuerza de ley </w:t>
      </w:r>
      <w:r w:rsidRPr="000816DC">
        <w:rPr>
          <w:rFonts w:ascii="Tahoma" w:hAnsi="Tahoma" w:cs="Tahoma"/>
          <w:sz w:val="22"/>
          <w:szCs w:val="22"/>
        </w:rPr>
        <w:t xml:space="preserve">N° 329, de 1979, del Ministerio de Hacienda, </w:t>
      </w:r>
      <w:r w:rsidR="00177C2D">
        <w:rPr>
          <w:rFonts w:ascii="Tahoma" w:hAnsi="Tahoma" w:cs="Tahoma"/>
          <w:sz w:val="22"/>
          <w:szCs w:val="22"/>
        </w:rPr>
        <w:t xml:space="preserve">que aprueba la </w:t>
      </w:r>
      <w:r w:rsidRPr="000816DC">
        <w:rPr>
          <w:rFonts w:ascii="Tahoma" w:hAnsi="Tahoma" w:cs="Tahoma"/>
          <w:sz w:val="22"/>
          <w:szCs w:val="22"/>
        </w:rPr>
        <w:t>Ley Orgánica del Servicio Nacional de Aduanas</w:t>
      </w:r>
      <w:r>
        <w:rPr>
          <w:rFonts w:ascii="Tahoma" w:hAnsi="Tahoma" w:cs="Tahoma"/>
          <w:sz w:val="22"/>
          <w:szCs w:val="22"/>
        </w:rPr>
        <w:t>.</w:t>
      </w:r>
    </w:p>
    <w:p w14:paraId="13797191" w14:textId="77777777" w:rsidR="0077125B" w:rsidRDefault="0077125B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763DF0B0" w14:textId="77777777" w:rsidR="0077125B" w:rsidRPr="0077125B" w:rsidRDefault="0077125B" w:rsidP="0077125B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77125B">
        <w:rPr>
          <w:rFonts w:ascii="Tahoma" w:hAnsi="Tahoma" w:cs="Tahoma"/>
          <w:sz w:val="22"/>
          <w:szCs w:val="22"/>
        </w:rPr>
        <w:t>El Decreto N° 1.134, de 2001, del Ministerio de Hacienda, que contiene el “Reglamento para la aplicación del Acuerdo referente al Artículo VII del Acuerdo General sobre Aranceles y Comercio de 1994”.</w:t>
      </w:r>
    </w:p>
    <w:p w14:paraId="2F1AC6BC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3146F809" w14:textId="26326C0D" w:rsidR="001D3405" w:rsidRDefault="00296BEA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Compendio de Normas Aduaneras, </w:t>
      </w:r>
      <w:r w:rsidR="001D3405">
        <w:rPr>
          <w:rFonts w:ascii="Tahoma" w:hAnsi="Tahoma" w:cs="Tahoma"/>
          <w:sz w:val="22"/>
          <w:szCs w:val="22"/>
        </w:rPr>
        <w:t xml:space="preserve">sancionado por </w:t>
      </w:r>
      <w:r w:rsidR="001D3405" w:rsidRPr="000816DC">
        <w:rPr>
          <w:rFonts w:ascii="Tahoma" w:hAnsi="Tahoma" w:cs="Tahoma"/>
          <w:sz w:val="22"/>
          <w:szCs w:val="22"/>
        </w:rPr>
        <w:t>l</w:t>
      </w:r>
      <w:r w:rsidR="001D3405">
        <w:rPr>
          <w:rFonts w:ascii="Tahoma" w:hAnsi="Tahoma" w:cs="Tahoma"/>
          <w:sz w:val="22"/>
          <w:szCs w:val="22"/>
        </w:rPr>
        <w:t>a r</w:t>
      </w:r>
      <w:r w:rsidR="001D3405" w:rsidRPr="000816DC">
        <w:rPr>
          <w:rFonts w:ascii="Tahoma" w:hAnsi="Tahoma" w:cs="Tahoma"/>
          <w:sz w:val="22"/>
          <w:szCs w:val="22"/>
        </w:rPr>
        <w:t>esolución N° 1.300, de 2006, del Director Nacional de Aduanas</w:t>
      </w:r>
      <w:r w:rsidR="001D3405">
        <w:rPr>
          <w:rFonts w:ascii="Tahoma" w:hAnsi="Tahoma" w:cs="Tahoma"/>
          <w:sz w:val="22"/>
          <w:szCs w:val="22"/>
        </w:rPr>
        <w:t>.</w:t>
      </w:r>
    </w:p>
    <w:p w14:paraId="1E077376" w14:textId="242910A1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4AC7C667" w14:textId="77777777" w:rsidR="00B47324" w:rsidRPr="000816DC" w:rsidRDefault="00B47324" w:rsidP="001D3405">
      <w:pPr>
        <w:jc w:val="both"/>
        <w:rPr>
          <w:rFonts w:ascii="Tahoma" w:hAnsi="Tahoma" w:cs="Tahoma"/>
          <w:sz w:val="22"/>
          <w:szCs w:val="22"/>
        </w:rPr>
      </w:pPr>
    </w:p>
    <w:p w14:paraId="1EE5448B" w14:textId="77777777" w:rsidR="001D3405" w:rsidRDefault="001D3405" w:rsidP="001D3405">
      <w:pPr>
        <w:ind w:firstLine="3544"/>
        <w:jc w:val="both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CONSIDERANDO:</w:t>
      </w:r>
    </w:p>
    <w:p w14:paraId="5C8357B2" w14:textId="77777777" w:rsidR="001D3405" w:rsidRPr="00FD29CE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1FA85179" w14:textId="11B82599" w:rsidR="00652724" w:rsidRDefault="00652724" w:rsidP="00296BEA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296BEA" w:rsidRPr="00296BEA">
        <w:rPr>
          <w:rFonts w:ascii="Tahoma" w:hAnsi="Tahoma" w:cs="Tahoma"/>
          <w:sz w:val="22"/>
          <w:szCs w:val="22"/>
        </w:rPr>
        <w:t xml:space="preserve">según el artículo 1° del Acuerdo relativo a la Aplicación del Artículo VII del Acuerdo General sobre Aranceles Aduaneros y Comercio, de 1994, el valor en aduana será el valor de transacción, es decir, el precio realmente pagado o por pagar por las mercancías importadas, </w:t>
      </w:r>
      <w:r>
        <w:rPr>
          <w:rFonts w:ascii="Tahoma" w:hAnsi="Tahoma" w:cs="Tahoma"/>
          <w:sz w:val="22"/>
          <w:szCs w:val="22"/>
        </w:rPr>
        <w:t>ajustado si procede, de conformidad con el artículo 8°.</w:t>
      </w:r>
    </w:p>
    <w:p w14:paraId="1B475B6F" w14:textId="77777777" w:rsidR="00652724" w:rsidRDefault="00652724" w:rsidP="00296BEA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20C79F34" w14:textId="3F03E376" w:rsidR="00652724" w:rsidRDefault="00652724" w:rsidP="00296BEA">
      <w:pPr>
        <w:ind w:firstLine="35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el artículo 8°</w:t>
      </w:r>
      <w:r w:rsidR="00AD0EC0">
        <w:rPr>
          <w:rFonts w:ascii="Tahoma" w:hAnsi="Tahoma" w:cs="Tahoma"/>
          <w:sz w:val="22"/>
          <w:szCs w:val="22"/>
        </w:rPr>
        <w:t xml:space="preserve"> del A</w:t>
      </w:r>
      <w:r>
        <w:rPr>
          <w:rFonts w:ascii="Tahoma" w:hAnsi="Tahoma" w:cs="Tahoma"/>
          <w:sz w:val="22"/>
          <w:szCs w:val="22"/>
        </w:rPr>
        <w:t>cuerdo antes mencionado, en su numeral 2, establece que en la legislación de cada Miembro se dispondrá que se incluya en el valor en aduana o se excluya del mismo, la totalidad o parte de los elementos que dicho numeral detall</w:t>
      </w:r>
      <w:r w:rsidR="007D473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,</w:t>
      </w:r>
      <w:r w:rsidR="006A77C4">
        <w:rPr>
          <w:rFonts w:ascii="Tahoma" w:hAnsi="Tahoma" w:cs="Tahoma"/>
          <w:sz w:val="22"/>
          <w:szCs w:val="22"/>
        </w:rPr>
        <w:t xml:space="preserve"> sobre gastos de transporte, costo del seguro y otros,</w:t>
      </w:r>
      <w:r>
        <w:rPr>
          <w:rFonts w:ascii="Tahoma" w:hAnsi="Tahoma" w:cs="Tahoma"/>
          <w:sz w:val="22"/>
          <w:szCs w:val="22"/>
        </w:rPr>
        <w:t xml:space="preserve"> asimismo, en su numeral 3 señala que las adiciones previstas </w:t>
      </w:r>
      <w:r w:rsidR="00727251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>podrá</w:t>
      </w:r>
      <w:r w:rsidR="0000341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hacer sobre la base de datos objetivos y cuantificables.</w:t>
      </w:r>
    </w:p>
    <w:p w14:paraId="192C7B81" w14:textId="77777777" w:rsidR="00AD0EC0" w:rsidRDefault="00AD0EC0" w:rsidP="00296BEA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2F009E9" w14:textId="66F6F9E7" w:rsidR="001D3405" w:rsidRPr="002A7A2F" w:rsidRDefault="00296BEA" w:rsidP="00E02FB7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296BEA">
        <w:rPr>
          <w:rFonts w:ascii="Tahoma" w:hAnsi="Tahoma" w:cs="Tahoma"/>
          <w:sz w:val="22"/>
          <w:szCs w:val="22"/>
        </w:rPr>
        <w:t xml:space="preserve">Que, </w:t>
      </w:r>
      <w:r w:rsidR="00003419">
        <w:rPr>
          <w:rFonts w:ascii="Tahoma" w:hAnsi="Tahoma" w:cs="Tahoma"/>
          <w:sz w:val="22"/>
          <w:szCs w:val="22"/>
        </w:rPr>
        <w:t xml:space="preserve">el </w:t>
      </w:r>
      <w:r w:rsidR="00AD0EC0" w:rsidRPr="00AD0EC0">
        <w:rPr>
          <w:rFonts w:ascii="Tahoma" w:hAnsi="Tahoma" w:cs="Tahoma"/>
          <w:sz w:val="22"/>
          <w:szCs w:val="22"/>
        </w:rPr>
        <w:t>artículo 6° del Decreto N°1.134/2002 del Ministerio de Hacienda, que aprueba el Reglamento para la aplicación del Acuerdo antes mencionado</w:t>
      </w:r>
      <w:r w:rsidR="00AD0EC0">
        <w:rPr>
          <w:rFonts w:ascii="Tahoma" w:hAnsi="Tahoma" w:cs="Tahoma"/>
          <w:sz w:val="22"/>
          <w:szCs w:val="22"/>
        </w:rPr>
        <w:t>, establece</w:t>
      </w:r>
      <w:r w:rsidR="0077125B">
        <w:rPr>
          <w:rFonts w:ascii="Tahoma" w:hAnsi="Tahoma" w:cs="Tahoma"/>
          <w:sz w:val="22"/>
          <w:szCs w:val="22"/>
        </w:rPr>
        <w:t xml:space="preserve"> de</w:t>
      </w:r>
      <w:r w:rsidR="00AD0EC0">
        <w:rPr>
          <w:rFonts w:ascii="Tahoma" w:hAnsi="Tahoma" w:cs="Tahoma"/>
          <w:sz w:val="22"/>
          <w:szCs w:val="22"/>
        </w:rPr>
        <w:t xml:space="preserve"> </w:t>
      </w:r>
      <w:r w:rsidR="008E5C01" w:rsidRPr="008E5C01">
        <w:rPr>
          <w:rFonts w:ascii="Tahoma" w:hAnsi="Tahoma" w:cs="Tahoma"/>
          <w:sz w:val="22"/>
          <w:szCs w:val="22"/>
        </w:rPr>
        <w:t xml:space="preserve">manera obligatoria la facultad </w:t>
      </w:r>
      <w:r w:rsidR="00AD0EC0">
        <w:rPr>
          <w:rFonts w:ascii="Tahoma" w:hAnsi="Tahoma" w:cs="Tahoma"/>
          <w:sz w:val="22"/>
          <w:szCs w:val="22"/>
        </w:rPr>
        <w:t>indicada en el numeral 2 del artículo 8° del mismo Acuerdo</w:t>
      </w:r>
      <w:r w:rsidR="00032629">
        <w:rPr>
          <w:rFonts w:ascii="Tahoma" w:hAnsi="Tahoma" w:cs="Tahoma"/>
          <w:sz w:val="22"/>
          <w:szCs w:val="22"/>
        </w:rPr>
        <w:t>,</w:t>
      </w:r>
      <w:r w:rsidR="00AD0EC0" w:rsidRPr="00AD0EC0">
        <w:t xml:space="preserve"> </w:t>
      </w:r>
      <w:r w:rsidR="00AD0EC0">
        <w:rPr>
          <w:rFonts w:ascii="Tahoma" w:hAnsi="Tahoma" w:cs="Tahoma"/>
          <w:sz w:val="22"/>
          <w:szCs w:val="22"/>
        </w:rPr>
        <w:t>y señala a su vez que a falta de esta información se deberá recurrir</w:t>
      </w:r>
      <w:r w:rsidR="00AD0EC0" w:rsidRPr="00565F0A">
        <w:t xml:space="preserve"> </w:t>
      </w:r>
      <w:r w:rsidR="00AD0EC0" w:rsidRPr="00565F0A">
        <w:rPr>
          <w:rFonts w:ascii="Tahoma" w:hAnsi="Tahoma" w:cs="Tahoma"/>
          <w:sz w:val="22"/>
          <w:szCs w:val="22"/>
        </w:rPr>
        <w:t>a la</w:t>
      </w:r>
      <w:r w:rsidR="007D4732">
        <w:rPr>
          <w:rFonts w:ascii="Tahoma" w:hAnsi="Tahoma" w:cs="Tahoma"/>
          <w:sz w:val="22"/>
          <w:szCs w:val="22"/>
        </w:rPr>
        <w:t xml:space="preserve"> que se encuentre</w:t>
      </w:r>
      <w:r w:rsidR="00AD0EC0">
        <w:rPr>
          <w:rFonts w:ascii="Tahoma" w:hAnsi="Tahoma" w:cs="Tahoma"/>
          <w:sz w:val="22"/>
          <w:szCs w:val="22"/>
        </w:rPr>
        <w:t xml:space="preserve"> </w:t>
      </w:r>
      <w:r w:rsidR="00AD0EC0" w:rsidRPr="00565F0A">
        <w:rPr>
          <w:rFonts w:ascii="Tahoma" w:hAnsi="Tahoma" w:cs="Tahoma"/>
          <w:sz w:val="22"/>
          <w:szCs w:val="22"/>
        </w:rPr>
        <w:t xml:space="preserve">disponible, en tanto se apoye en datos </w:t>
      </w:r>
      <w:r w:rsidR="00E72176">
        <w:rPr>
          <w:rFonts w:ascii="Tahoma" w:hAnsi="Tahoma" w:cs="Tahoma"/>
          <w:sz w:val="22"/>
          <w:szCs w:val="22"/>
        </w:rPr>
        <w:t>obje</w:t>
      </w:r>
      <w:r w:rsidR="00AD0EC0" w:rsidRPr="00565F0A">
        <w:rPr>
          <w:rFonts w:ascii="Tahoma" w:hAnsi="Tahoma" w:cs="Tahoma"/>
          <w:sz w:val="22"/>
          <w:szCs w:val="22"/>
        </w:rPr>
        <w:t>tivos y</w:t>
      </w:r>
      <w:r w:rsidR="00AD0EC0">
        <w:rPr>
          <w:rFonts w:ascii="Tahoma" w:hAnsi="Tahoma" w:cs="Tahoma"/>
          <w:sz w:val="22"/>
          <w:szCs w:val="22"/>
        </w:rPr>
        <w:t xml:space="preserve"> </w:t>
      </w:r>
      <w:r w:rsidR="00AD0EC0" w:rsidRPr="00565F0A">
        <w:rPr>
          <w:rFonts w:ascii="Tahoma" w:hAnsi="Tahoma" w:cs="Tahoma"/>
          <w:sz w:val="22"/>
          <w:szCs w:val="22"/>
        </w:rPr>
        <w:t>cuantificables</w:t>
      </w:r>
      <w:r w:rsidR="00B22E5E">
        <w:rPr>
          <w:rFonts w:ascii="Tahoma" w:hAnsi="Tahoma" w:cs="Tahoma"/>
          <w:sz w:val="22"/>
          <w:szCs w:val="22"/>
        </w:rPr>
        <w:t>.</w:t>
      </w:r>
      <w:r w:rsidR="00AD0EC0" w:rsidRPr="00565F0A">
        <w:rPr>
          <w:rFonts w:ascii="Tahoma" w:hAnsi="Tahoma" w:cs="Tahoma"/>
          <w:sz w:val="22"/>
          <w:szCs w:val="22"/>
        </w:rPr>
        <w:t xml:space="preserve">  </w:t>
      </w:r>
      <w:r w:rsidR="00AD0EC0">
        <w:rPr>
          <w:rFonts w:ascii="Tahoma" w:hAnsi="Tahoma" w:cs="Tahoma"/>
          <w:sz w:val="22"/>
          <w:szCs w:val="22"/>
        </w:rPr>
        <w:t xml:space="preserve">   </w:t>
      </w:r>
    </w:p>
    <w:p w14:paraId="4DB8ECB6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0794D6D7" w14:textId="7505565C" w:rsidR="00E95831" w:rsidRPr="00503233" w:rsidRDefault="001D3405" w:rsidP="007D4732">
      <w:pPr>
        <w:ind w:firstLine="3544"/>
        <w:jc w:val="both"/>
      </w:pPr>
      <w:r w:rsidRPr="004440D8">
        <w:rPr>
          <w:rFonts w:ascii="Tahoma" w:hAnsi="Tahoma" w:cs="Tahoma"/>
          <w:sz w:val="22"/>
          <w:szCs w:val="22"/>
        </w:rPr>
        <w:lastRenderedPageBreak/>
        <w:t xml:space="preserve">Que, </w:t>
      </w:r>
      <w:r w:rsidR="00E02FB7">
        <w:rPr>
          <w:rFonts w:ascii="Tahoma" w:hAnsi="Tahoma" w:cs="Tahoma"/>
          <w:sz w:val="22"/>
          <w:szCs w:val="22"/>
        </w:rPr>
        <w:t xml:space="preserve">ante consultas recibidas por parte </w:t>
      </w:r>
      <w:r w:rsidR="00154E3D">
        <w:rPr>
          <w:rFonts w:ascii="Tahoma" w:hAnsi="Tahoma" w:cs="Tahoma"/>
          <w:sz w:val="22"/>
          <w:szCs w:val="22"/>
        </w:rPr>
        <w:t xml:space="preserve">de </w:t>
      </w:r>
      <w:r w:rsidR="00E02FB7">
        <w:rPr>
          <w:rFonts w:ascii="Tahoma" w:hAnsi="Tahoma" w:cs="Tahoma"/>
          <w:sz w:val="22"/>
          <w:szCs w:val="22"/>
        </w:rPr>
        <w:t xml:space="preserve">usuarios </w:t>
      </w:r>
      <w:r w:rsidR="007144AC">
        <w:rPr>
          <w:rFonts w:ascii="Tahoma" w:hAnsi="Tahoma" w:cs="Tahoma"/>
          <w:sz w:val="22"/>
          <w:szCs w:val="22"/>
        </w:rPr>
        <w:t>sobre la conformación del Valor Aduanero</w:t>
      </w:r>
      <w:r w:rsidR="00E72176">
        <w:rPr>
          <w:rFonts w:ascii="Tahoma" w:hAnsi="Tahoma" w:cs="Tahoma"/>
          <w:sz w:val="22"/>
          <w:szCs w:val="22"/>
        </w:rPr>
        <w:t>,</w:t>
      </w:r>
      <w:r w:rsidR="007144AC">
        <w:rPr>
          <w:rFonts w:ascii="Tahoma" w:hAnsi="Tahoma" w:cs="Tahoma"/>
          <w:sz w:val="22"/>
          <w:szCs w:val="22"/>
        </w:rPr>
        <w:t xml:space="preserve"> respecto de los </w:t>
      </w:r>
      <w:r w:rsidR="00923A42">
        <w:rPr>
          <w:rFonts w:ascii="Tahoma" w:hAnsi="Tahoma" w:cs="Tahoma"/>
          <w:sz w:val="22"/>
          <w:szCs w:val="22"/>
        </w:rPr>
        <w:t>gastos</w:t>
      </w:r>
      <w:r w:rsidR="00E02FB7" w:rsidRPr="00E02FB7">
        <w:rPr>
          <w:rFonts w:ascii="Tahoma" w:hAnsi="Tahoma" w:cs="Tahoma"/>
          <w:sz w:val="22"/>
          <w:szCs w:val="22"/>
        </w:rPr>
        <w:t xml:space="preserve"> de transporte hasta su lugar de entrada al territorio nacional, los gastos de carga, descarga y manipulación ocasionados por dicho transporte, y el costo del seguro</w:t>
      </w:r>
      <w:r w:rsidR="00B22E5E">
        <w:rPr>
          <w:rFonts w:ascii="Tahoma" w:hAnsi="Tahoma" w:cs="Tahoma"/>
          <w:sz w:val="22"/>
          <w:szCs w:val="22"/>
        </w:rPr>
        <w:t xml:space="preserve">, </w:t>
      </w:r>
      <w:r w:rsidR="007144AC" w:rsidRPr="007144AC">
        <w:rPr>
          <w:rFonts w:ascii="Tahoma" w:hAnsi="Tahoma" w:cs="Tahoma"/>
          <w:sz w:val="22"/>
          <w:szCs w:val="22"/>
        </w:rPr>
        <w:t xml:space="preserve">se </w:t>
      </w:r>
      <w:r w:rsidR="007144AC">
        <w:rPr>
          <w:rFonts w:ascii="Tahoma" w:hAnsi="Tahoma" w:cs="Tahoma"/>
          <w:sz w:val="22"/>
          <w:szCs w:val="22"/>
        </w:rPr>
        <w:t xml:space="preserve">precisa actualizar </w:t>
      </w:r>
      <w:r w:rsidR="00624020">
        <w:rPr>
          <w:rFonts w:ascii="Tahoma" w:hAnsi="Tahoma" w:cs="Tahoma"/>
          <w:sz w:val="22"/>
          <w:szCs w:val="22"/>
        </w:rPr>
        <w:t>la</w:t>
      </w:r>
      <w:r w:rsidR="007144AC">
        <w:rPr>
          <w:rFonts w:ascii="Tahoma" w:hAnsi="Tahoma" w:cs="Tahoma"/>
          <w:sz w:val="22"/>
          <w:szCs w:val="22"/>
        </w:rPr>
        <w:t xml:space="preserve"> redacción</w:t>
      </w:r>
      <w:r w:rsidR="007D4732">
        <w:rPr>
          <w:rFonts w:ascii="Tahoma" w:hAnsi="Tahoma" w:cs="Tahoma"/>
          <w:sz w:val="22"/>
          <w:szCs w:val="22"/>
        </w:rPr>
        <w:t xml:space="preserve"> de</w:t>
      </w:r>
      <w:r w:rsidR="0099434A">
        <w:rPr>
          <w:rFonts w:ascii="Tahoma" w:hAnsi="Tahoma" w:cs="Tahoma"/>
          <w:sz w:val="22"/>
          <w:szCs w:val="22"/>
        </w:rPr>
        <w:t xml:space="preserve"> las disposiciones contenidas en el Compendio de Normas Aduaneras</w:t>
      </w:r>
      <w:r w:rsidR="007D4732">
        <w:rPr>
          <w:rFonts w:ascii="Tahoma" w:hAnsi="Tahoma" w:cs="Tahoma"/>
          <w:sz w:val="22"/>
          <w:szCs w:val="22"/>
        </w:rPr>
        <w:t xml:space="preserve">, </w:t>
      </w:r>
      <w:r w:rsidR="007144AC">
        <w:rPr>
          <w:rFonts w:ascii="Tahoma" w:hAnsi="Tahoma" w:cs="Tahoma"/>
          <w:sz w:val="22"/>
          <w:szCs w:val="22"/>
        </w:rPr>
        <w:t xml:space="preserve">para otorgar mayor certeza </w:t>
      </w:r>
      <w:r w:rsidR="007144AC" w:rsidRPr="007144AC">
        <w:rPr>
          <w:rFonts w:ascii="Tahoma" w:hAnsi="Tahoma" w:cs="Tahoma"/>
          <w:sz w:val="22"/>
          <w:szCs w:val="22"/>
        </w:rPr>
        <w:t xml:space="preserve">y comprensión </w:t>
      </w:r>
      <w:r w:rsidR="007144AC">
        <w:rPr>
          <w:rFonts w:ascii="Tahoma" w:hAnsi="Tahoma" w:cs="Tahoma"/>
          <w:sz w:val="22"/>
          <w:szCs w:val="22"/>
        </w:rPr>
        <w:t xml:space="preserve">de la </w:t>
      </w:r>
      <w:r w:rsidR="00624020">
        <w:rPr>
          <w:rFonts w:ascii="Tahoma" w:hAnsi="Tahoma" w:cs="Tahoma"/>
          <w:sz w:val="22"/>
          <w:szCs w:val="22"/>
        </w:rPr>
        <w:t>norma</w:t>
      </w:r>
      <w:r w:rsidR="00BE6A22">
        <w:rPr>
          <w:rFonts w:ascii="Tahoma" w:hAnsi="Tahoma" w:cs="Tahoma"/>
          <w:sz w:val="22"/>
          <w:szCs w:val="22"/>
        </w:rPr>
        <w:t xml:space="preserve"> y de las instrucciones de llenado de la declaración de ingreso</w:t>
      </w:r>
      <w:r w:rsidR="007144AC">
        <w:rPr>
          <w:rFonts w:ascii="Tahoma" w:hAnsi="Tahoma" w:cs="Tahoma"/>
          <w:sz w:val="22"/>
          <w:szCs w:val="22"/>
        </w:rPr>
        <w:t>.</w:t>
      </w:r>
      <w:r w:rsidR="00E95831">
        <w:rPr>
          <w:rFonts w:ascii="Tahoma" w:hAnsi="Tahoma" w:cs="Tahoma"/>
          <w:sz w:val="22"/>
          <w:szCs w:val="22"/>
        </w:rPr>
        <w:t xml:space="preserve"> </w:t>
      </w:r>
    </w:p>
    <w:p w14:paraId="23CEFAB6" w14:textId="77777777" w:rsidR="00E95831" w:rsidRDefault="00E95831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232B6B13" w14:textId="6F6598F5" w:rsidR="00E95831" w:rsidRDefault="00E95831" w:rsidP="00E95831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E95831">
        <w:rPr>
          <w:rFonts w:ascii="Tahoma" w:hAnsi="Tahoma" w:cs="Tahoma"/>
          <w:sz w:val="22"/>
          <w:szCs w:val="22"/>
        </w:rPr>
        <w:t>Que, conforme a todo lo anterior, se hace necesario</w:t>
      </w:r>
      <w:r>
        <w:rPr>
          <w:rFonts w:ascii="Tahoma" w:hAnsi="Tahoma" w:cs="Tahoma"/>
          <w:sz w:val="22"/>
          <w:szCs w:val="22"/>
        </w:rPr>
        <w:t xml:space="preserve"> </w:t>
      </w:r>
      <w:r w:rsidR="002A55D3">
        <w:rPr>
          <w:rFonts w:ascii="Tahoma" w:hAnsi="Tahoma" w:cs="Tahoma"/>
          <w:sz w:val="22"/>
          <w:szCs w:val="22"/>
        </w:rPr>
        <w:t xml:space="preserve">modificar </w:t>
      </w:r>
      <w:r w:rsidR="0099434A">
        <w:rPr>
          <w:rFonts w:ascii="Tahoma" w:hAnsi="Tahoma" w:cs="Tahoma"/>
          <w:sz w:val="22"/>
          <w:szCs w:val="22"/>
        </w:rPr>
        <w:t xml:space="preserve">específicamente </w:t>
      </w:r>
      <w:r w:rsidR="002A55D3">
        <w:rPr>
          <w:rFonts w:ascii="Tahoma" w:hAnsi="Tahoma" w:cs="Tahoma"/>
          <w:sz w:val="22"/>
          <w:szCs w:val="22"/>
        </w:rPr>
        <w:t>los capítulos II,</w:t>
      </w:r>
      <w:r w:rsidR="00BE6A22">
        <w:rPr>
          <w:rFonts w:ascii="Tahoma" w:hAnsi="Tahoma" w:cs="Tahoma"/>
          <w:sz w:val="22"/>
          <w:szCs w:val="22"/>
        </w:rPr>
        <w:t xml:space="preserve"> </w:t>
      </w:r>
      <w:r w:rsidR="003F5E1C">
        <w:rPr>
          <w:rFonts w:ascii="Tahoma" w:hAnsi="Tahoma" w:cs="Tahoma"/>
          <w:sz w:val="22"/>
          <w:szCs w:val="22"/>
        </w:rPr>
        <w:t>III,</w:t>
      </w:r>
      <w:r w:rsidR="002A55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Anexo 18</w:t>
      </w:r>
      <w:r w:rsidR="002A55D3">
        <w:rPr>
          <w:rFonts w:ascii="Tahoma" w:hAnsi="Tahoma" w:cs="Tahoma"/>
          <w:sz w:val="22"/>
          <w:szCs w:val="22"/>
        </w:rPr>
        <w:t xml:space="preserve"> y Anexo 51-14</w:t>
      </w:r>
      <w:r>
        <w:rPr>
          <w:rFonts w:ascii="Tahoma" w:hAnsi="Tahoma" w:cs="Tahoma"/>
          <w:sz w:val="22"/>
          <w:szCs w:val="22"/>
        </w:rPr>
        <w:t xml:space="preserve"> del </w:t>
      </w:r>
      <w:r w:rsidRPr="00E95831">
        <w:rPr>
          <w:rFonts w:ascii="Tahoma" w:hAnsi="Tahoma" w:cs="Tahoma"/>
          <w:sz w:val="22"/>
          <w:szCs w:val="22"/>
        </w:rPr>
        <w:t>Compendio de Normas Aduaneras</w:t>
      </w:r>
      <w:r w:rsidR="0093490E">
        <w:rPr>
          <w:rFonts w:ascii="Tahoma" w:hAnsi="Tahoma" w:cs="Tahoma"/>
          <w:sz w:val="22"/>
          <w:szCs w:val="22"/>
        </w:rPr>
        <w:t>.</w:t>
      </w:r>
    </w:p>
    <w:p w14:paraId="0C765F56" w14:textId="77777777" w:rsidR="00E95831" w:rsidRDefault="00E95831" w:rsidP="00E95831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35FD21DC" w14:textId="77777777" w:rsidR="006312B4" w:rsidRPr="000816DC" w:rsidRDefault="006312B4" w:rsidP="001D3405">
      <w:pPr>
        <w:jc w:val="both"/>
        <w:rPr>
          <w:rFonts w:ascii="Tahoma" w:hAnsi="Tahoma" w:cs="Tahoma"/>
          <w:sz w:val="22"/>
          <w:szCs w:val="22"/>
        </w:rPr>
      </w:pPr>
    </w:p>
    <w:p w14:paraId="292A1263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TENIENDO PRESENTE:</w:t>
      </w:r>
      <w:r w:rsidRPr="000816DC">
        <w:rPr>
          <w:rFonts w:ascii="Tahoma" w:hAnsi="Tahoma" w:cs="Tahoma"/>
          <w:sz w:val="22"/>
          <w:szCs w:val="22"/>
        </w:rPr>
        <w:t xml:space="preserve"> </w:t>
      </w:r>
    </w:p>
    <w:p w14:paraId="4E101876" w14:textId="77777777" w:rsidR="001D3405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</w:p>
    <w:p w14:paraId="5A873F0E" w14:textId="588618C8" w:rsidR="001D3405" w:rsidRPr="000816DC" w:rsidRDefault="001D3405" w:rsidP="001D3405">
      <w:pPr>
        <w:ind w:firstLine="3544"/>
        <w:jc w:val="both"/>
        <w:rPr>
          <w:rFonts w:ascii="Tahoma" w:hAnsi="Tahoma" w:cs="Tahoma"/>
          <w:sz w:val="22"/>
          <w:szCs w:val="22"/>
        </w:rPr>
      </w:pPr>
      <w:r w:rsidRPr="000816DC">
        <w:rPr>
          <w:rFonts w:ascii="Tahoma" w:hAnsi="Tahoma" w:cs="Tahoma"/>
          <w:sz w:val="22"/>
          <w:szCs w:val="22"/>
        </w:rPr>
        <w:t xml:space="preserve">Lo dispuesto en el artículo 4°, N° </w:t>
      </w:r>
      <w:r>
        <w:rPr>
          <w:rFonts w:ascii="Tahoma" w:hAnsi="Tahoma" w:cs="Tahoma"/>
          <w:sz w:val="22"/>
          <w:szCs w:val="22"/>
        </w:rPr>
        <w:t xml:space="preserve">7, </w:t>
      </w:r>
      <w:r w:rsidRPr="000816DC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y 29,</w:t>
      </w:r>
      <w:r w:rsidRPr="000816DC">
        <w:rPr>
          <w:rFonts w:ascii="Tahoma" w:hAnsi="Tahoma" w:cs="Tahoma"/>
          <w:sz w:val="22"/>
          <w:szCs w:val="22"/>
        </w:rPr>
        <w:t xml:space="preserve"> del </w:t>
      </w:r>
      <w:r w:rsidR="001A4097">
        <w:rPr>
          <w:rFonts w:ascii="Tahoma" w:hAnsi="Tahoma" w:cs="Tahoma"/>
          <w:sz w:val="22"/>
          <w:szCs w:val="22"/>
        </w:rPr>
        <w:t>D</w:t>
      </w:r>
      <w:r w:rsidRPr="000816DC">
        <w:rPr>
          <w:rFonts w:ascii="Tahoma" w:hAnsi="Tahoma" w:cs="Tahoma"/>
          <w:sz w:val="22"/>
          <w:szCs w:val="22"/>
        </w:rPr>
        <w:t xml:space="preserve">ecreto </w:t>
      </w:r>
      <w:r>
        <w:rPr>
          <w:rFonts w:ascii="Tahoma" w:hAnsi="Tahoma" w:cs="Tahoma"/>
          <w:sz w:val="22"/>
          <w:szCs w:val="22"/>
        </w:rPr>
        <w:t xml:space="preserve">con fuerza de ley </w:t>
      </w:r>
      <w:r w:rsidRPr="000816DC">
        <w:rPr>
          <w:rFonts w:ascii="Tahoma" w:hAnsi="Tahoma" w:cs="Tahoma"/>
          <w:sz w:val="22"/>
          <w:szCs w:val="22"/>
        </w:rPr>
        <w:t xml:space="preserve">N° 329, de 1979, del Ministerio de Hacienda, Ley Orgánica del Servicio Nacional de Aduanas; y, en la Resolución Nº </w:t>
      </w:r>
      <w:r w:rsidR="00177C2D">
        <w:rPr>
          <w:rFonts w:ascii="Tahoma" w:hAnsi="Tahoma" w:cs="Tahoma"/>
          <w:sz w:val="22"/>
          <w:szCs w:val="22"/>
        </w:rPr>
        <w:t xml:space="preserve">7 </w:t>
      </w:r>
      <w:r w:rsidRPr="000816DC">
        <w:rPr>
          <w:rFonts w:ascii="Tahoma" w:hAnsi="Tahoma" w:cs="Tahoma"/>
          <w:sz w:val="22"/>
          <w:szCs w:val="22"/>
        </w:rPr>
        <w:t>de</w:t>
      </w:r>
      <w:r w:rsidR="008F0CAF">
        <w:rPr>
          <w:rFonts w:ascii="Tahoma" w:hAnsi="Tahoma" w:cs="Tahoma"/>
          <w:sz w:val="22"/>
          <w:szCs w:val="22"/>
        </w:rPr>
        <w:t xml:space="preserve"> </w:t>
      </w:r>
      <w:r w:rsidR="00177C2D">
        <w:rPr>
          <w:rFonts w:ascii="Tahoma" w:hAnsi="Tahoma" w:cs="Tahoma"/>
          <w:sz w:val="22"/>
          <w:szCs w:val="22"/>
        </w:rPr>
        <w:t>2019</w:t>
      </w:r>
      <w:r w:rsidRPr="000816DC">
        <w:rPr>
          <w:rFonts w:ascii="Tahoma" w:hAnsi="Tahoma" w:cs="Tahoma"/>
          <w:sz w:val="22"/>
          <w:szCs w:val="22"/>
        </w:rPr>
        <w:t xml:space="preserve"> de la Contraloría General de la República, sobre exención del trámite de toma de razón, dicto la siguiente: </w:t>
      </w:r>
    </w:p>
    <w:p w14:paraId="118AF446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4B08C2EC" w14:textId="77777777" w:rsidR="006312B4" w:rsidRDefault="006312B4" w:rsidP="001D3405">
      <w:pPr>
        <w:jc w:val="both"/>
        <w:rPr>
          <w:rFonts w:ascii="Tahoma" w:hAnsi="Tahoma" w:cs="Tahoma"/>
          <w:sz w:val="22"/>
          <w:szCs w:val="22"/>
        </w:rPr>
      </w:pPr>
    </w:p>
    <w:p w14:paraId="4B167359" w14:textId="77777777" w:rsidR="001D3405" w:rsidRDefault="001D3405" w:rsidP="001D3405">
      <w:pPr>
        <w:ind w:left="2832" w:firstLine="712"/>
        <w:jc w:val="both"/>
        <w:rPr>
          <w:rFonts w:ascii="Tahoma" w:hAnsi="Tahoma" w:cs="Tahoma"/>
          <w:b/>
          <w:sz w:val="22"/>
          <w:szCs w:val="22"/>
        </w:rPr>
      </w:pPr>
      <w:r w:rsidRPr="000816DC">
        <w:rPr>
          <w:rFonts w:ascii="Tahoma" w:hAnsi="Tahoma" w:cs="Tahoma"/>
          <w:b/>
          <w:sz w:val="22"/>
          <w:szCs w:val="22"/>
        </w:rPr>
        <w:t>RESOLUCIÓN:</w:t>
      </w:r>
    </w:p>
    <w:p w14:paraId="375408A1" w14:textId="77777777" w:rsidR="001D3405" w:rsidRDefault="001D3405" w:rsidP="001D3405">
      <w:pPr>
        <w:pStyle w:val="Prrafodelista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68277AF1" w14:textId="7D673BED" w:rsidR="001D3405" w:rsidRDefault="005365C6" w:rsidP="001431C1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MODIF</w:t>
      </w:r>
      <w:r w:rsidR="008E5C01">
        <w:rPr>
          <w:rFonts w:ascii="Tahoma" w:hAnsi="Tahoma" w:cs="Tahoma"/>
          <w:b/>
          <w:sz w:val="22"/>
          <w:szCs w:val="22"/>
        </w:rPr>
        <w:t>Í</w:t>
      </w:r>
      <w:r>
        <w:rPr>
          <w:rFonts w:ascii="Tahoma" w:hAnsi="Tahoma" w:cs="Tahoma"/>
          <w:b/>
          <w:sz w:val="22"/>
          <w:szCs w:val="22"/>
        </w:rPr>
        <w:t>CASE</w:t>
      </w:r>
      <w:r w:rsidR="001D3405">
        <w:rPr>
          <w:rFonts w:ascii="Tahoma" w:hAnsi="Tahoma" w:cs="Tahoma"/>
          <w:b/>
          <w:sz w:val="22"/>
          <w:szCs w:val="22"/>
        </w:rPr>
        <w:t>,</w:t>
      </w:r>
      <w:r w:rsidR="001D3405" w:rsidRPr="00FC3C05">
        <w:rPr>
          <w:rFonts w:ascii="Tahoma" w:hAnsi="Tahoma" w:cs="Tahoma"/>
          <w:b/>
          <w:sz w:val="22"/>
          <w:szCs w:val="22"/>
        </w:rPr>
        <w:t xml:space="preserve"> </w:t>
      </w:r>
      <w:r w:rsidR="003C16BE">
        <w:rPr>
          <w:rFonts w:ascii="Tahoma" w:hAnsi="Tahoma" w:cs="Tahoma"/>
          <w:sz w:val="22"/>
          <w:szCs w:val="22"/>
        </w:rPr>
        <w:t>el numeral 2.7 d</w:t>
      </w:r>
      <w:r w:rsidR="001D3405" w:rsidRPr="00EB6B9D">
        <w:rPr>
          <w:rFonts w:ascii="Tahoma" w:hAnsi="Tahoma" w:cs="Tahoma"/>
          <w:sz w:val="22"/>
          <w:szCs w:val="22"/>
        </w:rPr>
        <w:t>el Capítulo II</w:t>
      </w:r>
      <w:r w:rsidR="0076464B">
        <w:rPr>
          <w:rFonts w:ascii="Tahoma" w:hAnsi="Tahoma" w:cs="Tahoma"/>
          <w:sz w:val="22"/>
          <w:szCs w:val="22"/>
        </w:rPr>
        <w:t xml:space="preserve"> sobre </w:t>
      </w:r>
      <w:r w:rsidR="001D3405" w:rsidRPr="00EB6B9D">
        <w:rPr>
          <w:rFonts w:ascii="Tahoma" w:hAnsi="Tahoma" w:cs="Tahoma"/>
          <w:sz w:val="22"/>
          <w:szCs w:val="22"/>
        </w:rPr>
        <w:t xml:space="preserve">“Valoración de Mercancías”, del Compendio de Normas Aduaneras, </w:t>
      </w:r>
      <w:r>
        <w:rPr>
          <w:rFonts w:ascii="Tahoma" w:hAnsi="Tahoma" w:cs="Tahoma"/>
          <w:sz w:val="22"/>
          <w:szCs w:val="22"/>
        </w:rPr>
        <w:t xml:space="preserve">en </w:t>
      </w:r>
      <w:r w:rsidR="003C16BE">
        <w:rPr>
          <w:rFonts w:ascii="Tahoma" w:hAnsi="Tahoma" w:cs="Tahoma"/>
          <w:sz w:val="22"/>
          <w:szCs w:val="22"/>
        </w:rPr>
        <w:t xml:space="preserve">el </w:t>
      </w:r>
      <w:r w:rsidR="001D3405" w:rsidRPr="00EB6B9D">
        <w:rPr>
          <w:rFonts w:ascii="Tahoma" w:hAnsi="Tahoma" w:cs="Tahoma"/>
          <w:sz w:val="22"/>
          <w:szCs w:val="22"/>
        </w:rPr>
        <w:t>siguiente</w:t>
      </w:r>
      <w:r>
        <w:rPr>
          <w:rFonts w:ascii="Tahoma" w:hAnsi="Tahoma" w:cs="Tahoma"/>
          <w:sz w:val="22"/>
          <w:szCs w:val="22"/>
        </w:rPr>
        <w:t xml:space="preserve"> sentido</w:t>
      </w:r>
      <w:r w:rsidR="001D3405" w:rsidRPr="00EB6B9D">
        <w:rPr>
          <w:rFonts w:ascii="Tahoma" w:hAnsi="Tahoma" w:cs="Tahoma"/>
          <w:sz w:val="22"/>
          <w:szCs w:val="22"/>
        </w:rPr>
        <w:t>:</w:t>
      </w:r>
    </w:p>
    <w:p w14:paraId="3561BB56" w14:textId="77777777" w:rsidR="00B2056C" w:rsidRDefault="00B2056C" w:rsidP="00B2056C">
      <w:pPr>
        <w:jc w:val="both"/>
        <w:rPr>
          <w:rFonts w:ascii="Tahoma" w:hAnsi="Tahoma" w:cs="Tahoma"/>
          <w:sz w:val="22"/>
          <w:szCs w:val="22"/>
        </w:rPr>
      </w:pPr>
    </w:p>
    <w:p w14:paraId="5B155710" w14:textId="4927F9FA" w:rsidR="005365C6" w:rsidRPr="00B2056C" w:rsidRDefault="007F48B3" w:rsidP="005365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 </w:t>
      </w:r>
      <w:r w:rsidR="00520557">
        <w:rPr>
          <w:rFonts w:ascii="Tahoma" w:hAnsi="Tahoma" w:cs="Tahoma"/>
          <w:sz w:val="22"/>
          <w:szCs w:val="22"/>
        </w:rPr>
        <w:t xml:space="preserve">SUSTITÚYESE, </w:t>
      </w:r>
      <w:r w:rsidR="00161F27">
        <w:rPr>
          <w:rFonts w:ascii="Tahoma" w:hAnsi="Tahoma" w:cs="Tahoma"/>
          <w:sz w:val="22"/>
          <w:szCs w:val="22"/>
        </w:rPr>
        <w:t>el</w:t>
      </w:r>
      <w:r w:rsidR="005365C6" w:rsidRPr="00B2056C">
        <w:rPr>
          <w:rFonts w:ascii="Tahoma" w:hAnsi="Tahoma" w:cs="Tahoma"/>
          <w:sz w:val="22"/>
          <w:szCs w:val="22"/>
        </w:rPr>
        <w:t xml:space="preserve"> párrafo primero</w:t>
      </w:r>
      <w:r w:rsidR="006630BE">
        <w:rPr>
          <w:rFonts w:ascii="Tahoma" w:hAnsi="Tahoma" w:cs="Tahoma"/>
          <w:sz w:val="22"/>
          <w:szCs w:val="22"/>
        </w:rPr>
        <w:t>, por los</w:t>
      </w:r>
      <w:r w:rsidR="005365C6" w:rsidRPr="00B2056C">
        <w:rPr>
          <w:rFonts w:ascii="Tahoma" w:hAnsi="Tahoma" w:cs="Tahoma"/>
          <w:sz w:val="22"/>
          <w:szCs w:val="22"/>
        </w:rPr>
        <w:t xml:space="preserve"> siguiente</w:t>
      </w:r>
      <w:r w:rsidR="006630BE">
        <w:rPr>
          <w:rFonts w:ascii="Tahoma" w:hAnsi="Tahoma" w:cs="Tahoma"/>
          <w:sz w:val="22"/>
          <w:szCs w:val="22"/>
        </w:rPr>
        <w:t>s</w:t>
      </w:r>
      <w:r w:rsidR="005365C6">
        <w:rPr>
          <w:rFonts w:ascii="Tahoma" w:hAnsi="Tahoma" w:cs="Tahoma"/>
          <w:sz w:val="22"/>
          <w:szCs w:val="22"/>
        </w:rPr>
        <w:t>:</w:t>
      </w:r>
    </w:p>
    <w:p w14:paraId="5CB9ED75" w14:textId="77777777" w:rsidR="005365C6" w:rsidRDefault="005365C6" w:rsidP="005365C6">
      <w:pPr>
        <w:jc w:val="both"/>
        <w:rPr>
          <w:rFonts w:ascii="Tahoma" w:hAnsi="Tahoma" w:cs="Tahoma"/>
          <w:sz w:val="22"/>
          <w:szCs w:val="22"/>
        </w:rPr>
      </w:pPr>
    </w:p>
    <w:p w14:paraId="2944F5B8" w14:textId="75F42DE5" w:rsidR="00594FF3" w:rsidRDefault="00497B83" w:rsidP="004A4C35">
      <w:pPr>
        <w:pStyle w:val="HTMLconformatoprevio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valor </w:t>
      </w:r>
      <w:r w:rsidR="00210C20">
        <w:rPr>
          <w:rFonts w:ascii="Tahoma" w:hAnsi="Tahoma" w:cs="Tahoma"/>
          <w:sz w:val="22"/>
          <w:szCs w:val="22"/>
        </w:rPr>
        <w:t>aduanero de las mercancías importadas es el valor</w:t>
      </w:r>
      <w:r>
        <w:rPr>
          <w:rFonts w:ascii="Tahoma" w:hAnsi="Tahoma" w:cs="Tahoma"/>
          <w:sz w:val="22"/>
          <w:szCs w:val="22"/>
        </w:rPr>
        <w:t xml:space="preserve"> transacción, </w:t>
      </w:r>
      <w:r w:rsidR="008834E1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 xml:space="preserve">tal como se define en el artículo 1° del Acuerdo del Valor, es </w:t>
      </w:r>
      <w:r w:rsidR="006B11D9">
        <w:rPr>
          <w:rFonts w:ascii="Tahoma" w:hAnsi="Tahoma" w:cs="Tahoma"/>
          <w:sz w:val="22"/>
          <w:szCs w:val="22"/>
        </w:rPr>
        <w:t xml:space="preserve">el precio realmente pagado o por pagar por las mercancías, cuando éstas se venden para su exportación al país de importación, ajustado de conformidad con lo dispuesto en el artículo 8° del </w:t>
      </w:r>
      <w:r>
        <w:rPr>
          <w:rFonts w:ascii="Tahoma" w:hAnsi="Tahoma" w:cs="Tahoma"/>
          <w:sz w:val="22"/>
          <w:szCs w:val="22"/>
        </w:rPr>
        <w:t xml:space="preserve">mismo </w:t>
      </w:r>
      <w:r w:rsidR="006B11D9">
        <w:rPr>
          <w:rFonts w:ascii="Tahoma" w:hAnsi="Tahoma" w:cs="Tahoma"/>
          <w:sz w:val="22"/>
          <w:szCs w:val="22"/>
        </w:rPr>
        <w:t>Acuerdo</w:t>
      </w:r>
      <w:r>
        <w:rPr>
          <w:rFonts w:ascii="Tahoma" w:hAnsi="Tahoma" w:cs="Tahoma"/>
          <w:sz w:val="22"/>
          <w:szCs w:val="22"/>
        </w:rPr>
        <w:t>. Cuando el valor aduanero no pueda determinarse en virtud de lo dispuesto en el artículo 1°</w:t>
      </w:r>
      <w:r w:rsidR="006B11D9">
        <w:rPr>
          <w:rFonts w:ascii="Tahoma" w:hAnsi="Tahoma" w:cs="Tahoma"/>
          <w:sz w:val="22"/>
          <w:szCs w:val="22"/>
        </w:rPr>
        <w:t xml:space="preserve">, </w:t>
      </w:r>
      <w:r w:rsidR="00594FF3" w:rsidRPr="00594FF3">
        <w:rPr>
          <w:rFonts w:ascii="Tahoma" w:hAnsi="Tahoma" w:cs="Tahoma"/>
          <w:sz w:val="22"/>
          <w:szCs w:val="22"/>
        </w:rPr>
        <w:t xml:space="preserve">se debe determinar éste, recurriendo sucesivamente a cada uno </w:t>
      </w:r>
      <w:r w:rsidR="00594FF3">
        <w:rPr>
          <w:rFonts w:ascii="Tahoma" w:hAnsi="Tahoma" w:cs="Tahoma"/>
          <w:sz w:val="22"/>
          <w:szCs w:val="22"/>
        </w:rPr>
        <w:t>métodos de los artículos 2° a</w:t>
      </w:r>
      <w:r w:rsidR="008834E1">
        <w:rPr>
          <w:rFonts w:ascii="Tahoma" w:hAnsi="Tahoma" w:cs="Tahoma"/>
          <w:sz w:val="22"/>
          <w:szCs w:val="22"/>
        </w:rPr>
        <w:t>l</w:t>
      </w:r>
      <w:r w:rsidR="00594FF3">
        <w:rPr>
          <w:rFonts w:ascii="Tahoma" w:hAnsi="Tahoma" w:cs="Tahoma"/>
          <w:sz w:val="22"/>
          <w:szCs w:val="22"/>
        </w:rPr>
        <w:t xml:space="preserve"> 7° </w:t>
      </w:r>
      <w:r w:rsidR="00594FF3" w:rsidRPr="00594FF3">
        <w:rPr>
          <w:rFonts w:ascii="Tahoma" w:hAnsi="Tahoma" w:cs="Tahoma"/>
          <w:sz w:val="22"/>
          <w:szCs w:val="22"/>
        </w:rPr>
        <w:t xml:space="preserve">siguientes </w:t>
      </w:r>
      <w:r w:rsidR="00594FF3">
        <w:rPr>
          <w:rFonts w:ascii="Tahoma" w:hAnsi="Tahoma" w:cs="Tahoma"/>
          <w:sz w:val="22"/>
          <w:szCs w:val="22"/>
        </w:rPr>
        <w:t xml:space="preserve">del Acuerdo del Valor, </w:t>
      </w:r>
      <w:r w:rsidR="00594FF3" w:rsidRPr="00594FF3">
        <w:rPr>
          <w:rFonts w:ascii="Tahoma" w:hAnsi="Tahoma" w:cs="Tahoma"/>
          <w:sz w:val="22"/>
          <w:szCs w:val="22"/>
        </w:rPr>
        <w:t>hasta hallar el primero que permita determinarlo</w:t>
      </w:r>
      <w:r w:rsidR="00594FF3">
        <w:rPr>
          <w:rFonts w:ascii="Tahoma" w:hAnsi="Tahoma" w:cs="Tahoma"/>
          <w:sz w:val="22"/>
          <w:szCs w:val="22"/>
        </w:rPr>
        <w:t>.</w:t>
      </w:r>
    </w:p>
    <w:p w14:paraId="2A4C029D" w14:textId="77777777" w:rsidR="00DD02B0" w:rsidRDefault="00DD02B0" w:rsidP="004A4C35">
      <w:pPr>
        <w:pStyle w:val="HTMLconformatoprevio"/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7072E1C4" w14:textId="4FFE26D7" w:rsidR="004A4C35" w:rsidRDefault="00DD02B0" w:rsidP="004A4C35">
      <w:pPr>
        <w:pStyle w:val="HTMLconformatoprevio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DD02B0">
        <w:rPr>
          <w:rFonts w:ascii="Tahoma" w:hAnsi="Tahoma" w:cs="Tahoma"/>
          <w:sz w:val="22"/>
          <w:szCs w:val="22"/>
        </w:rPr>
        <w:t xml:space="preserve">El valor aduanero de las mercancías contenido en una declaración de ingreso, incluye </w:t>
      </w:r>
      <w:r w:rsidR="004A4C35" w:rsidRPr="004A4C35">
        <w:rPr>
          <w:rFonts w:ascii="Tahoma" w:hAnsi="Tahoma" w:cs="Tahoma"/>
          <w:sz w:val="22"/>
          <w:szCs w:val="22"/>
        </w:rPr>
        <w:t xml:space="preserve">los gastos de transporte hasta su lugar de entrada al territorio nacional, los gastos de </w:t>
      </w:r>
      <w:r w:rsidR="004A4C35">
        <w:rPr>
          <w:rFonts w:ascii="Tahoma" w:hAnsi="Tahoma" w:cs="Tahoma"/>
          <w:sz w:val="22"/>
          <w:szCs w:val="22"/>
        </w:rPr>
        <w:t xml:space="preserve">carga, descarga y manipulación </w:t>
      </w:r>
      <w:r w:rsidR="004A4C35" w:rsidRPr="004A4C35">
        <w:rPr>
          <w:rFonts w:ascii="Tahoma" w:hAnsi="Tahoma" w:cs="Tahoma"/>
          <w:sz w:val="22"/>
          <w:szCs w:val="22"/>
        </w:rPr>
        <w:t>ocasionados por dicho transporte, y el costo del seguro. Se entenderá por lugar de entrada de las mercancías</w:t>
      </w:r>
      <w:r w:rsidR="00143B1D">
        <w:rPr>
          <w:rFonts w:ascii="Tahoma" w:hAnsi="Tahoma" w:cs="Tahoma"/>
          <w:sz w:val="22"/>
          <w:szCs w:val="22"/>
        </w:rPr>
        <w:t>,</w:t>
      </w:r>
      <w:r w:rsidR="004A4C35" w:rsidRPr="004A4C35">
        <w:rPr>
          <w:rFonts w:ascii="Tahoma" w:hAnsi="Tahoma" w:cs="Tahoma"/>
          <w:sz w:val="22"/>
          <w:szCs w:val="22"/>
        </w:rPr>
        <w:t xml:space="preserve"> aquél por donde ingresen para ser sometidas a una destinación </w:t>
      </w:r>
      <w:r w:rsidR="004A4C35">
        <w:rPr>
          <w:rFonts w:ascii="Tahoma" w:hAnsi="Tahoma" w:cs="Tahoma"/>
          <w:sz w:val="22"/>
          <w:szCs w:val="22"/>
        </w:rPr>
        <w:t>a</w:t>
      </w:r>
      <w:r w:rsidR="004A4C35" w:rsidRPr="004A4C35">
        <w:rPr>
          <w:rFonts w:ascii="Tahoma" w:hAnsi="Tahoma" w:cs="Tahoma"/>
          <w:sz w:val="22"/>
          <w:szCs w:val="22"/>
        </w:rPr>
        <w:t>duanera.</w:t>
      </w:r>
    </w:p>
    <w:p w14:paraId="1DAE659C" w14:textId="77777777" w:rsidR="004A4C35" w:rsidRPr="004A4C35" w:rsidRDefault="004A4C35" w:rsidP="004A4C35">
      <w:pPr>
        <w:pStyle w:val="HTMLconformatoprevio"/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295606CE" w14:textId="11E6C784" w:rsidR="001F7797" w:rsidRDefault="001F7797" w:rsidP="001F779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gasto de transporte y los gastos </w:t>
      </w:r>
      <w:r w:rsidRPr="009A2593">
        <w:rPr>
          <w:rFonts w:ascii="Tahoma" w:hAnsi="Tahoma" w:cs="Tahoma"/>
          <w:sz w:val="22"/>
          <w:szCs w:val="22"/>
        </w:rPr>
        <w:t>de carga, descarga y</w:t>
      </w:r>
      <w:r>
        <w:rPr>
          <w:rFonts w:ascii="Tahoma" w:hAnsi="Tahoma" w:cs="Tahoma"/>
          <w:sz w:val="22"/>
          <w:szCs w:val="22"/>
        </w:rPr>
        <w:t xml:space="preserve"> manipulación ocasionados por dicho</w:t>
      </w:r>
      <w:r w:rsidRPr="009A2593">
        <w:rPr>
          <w:rFonts w:ascii="Tahoma" w:hAnsi="Tahoma" w:cs="Tahoma"/>
          <w:sz w:val="22"/>
          <w:szCs w:val="22"/>
        </w:rPr>
        <w:t xml:space="preserve"> transporte</w:t>
      </w:r>
      <w:r>
        <w:rPr>
          <w:rFonts w:ascii="Tahoma" w:hAnsi="Tahoma" w:cs="Tahoma"/>
          <w:sz w:val="22"/>
          <w:szCs w:val="22"/>
        </w:rPr>
        <w:t>, hasta el desembarco de</w:t>
      </w:r>
      <w:r w:rsidRPr="001F0E4D">
        <w:rPr>
          <w:rFonts w:ascii="Tahoma" w:hAnsi="Tahoma" w:cs="Tahoma"/>
          <w:sz w:val="22"/>
          <w:szCs w:val="22"/>
        </w:rPr>
        <w:t xml:space="preserve"> las mercancías</w:t>
      </w:r>
      <w:r w:rsidR="00592DCC">
        <w:rPr>
          <w:rFonts w:ascii="Tahoma" w:hAnsi="Tahoma" w:cs="Tahoma"/>
          <w:sz w:val="22"/>
          <w:szCs w:val="22"/>
        </w:rPr>
        <w:t>,</w:t>
      </w:r>
      <w:r w:rsidRPr="001F0E4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en </w:t>
      </w:r>
      <w:r w:rsidRPr="001F0E4D">
        <w:rPr>
          <w:rFonts w:ascii="Tahoma" w:hAnsi="Tahoma" w:cs="Tahoma"/>
          <w:sz w:val="22"/>
          <w:szCs w:val="22"/>
        </w:rPr>
        <w:t>el puerto</w:t>
      </w:r>
      <w:r>
        <w:rPr>
          <w:rFonts w:ascii="Tahoma" w:hAnsi="Tahoma" w:cs="Tahoma"/>
          <w:sz w:val="22"/>
          <w:szCs w:val="22"/>
        </w:rPr>
        <w:t xml:space="preserve"> o </w:t>
      </w:r>
      <w:r w:rsidR="003C5D3B" w:rsidRPr="003C5D3B">
        <w:rPr>
          <w:rFonts w:ascii="Tahoma" w:hAnsi="Tahoma" w:cs="Tahoma"/>
          <w:sz w:val="22"/>
          <w:szCs w:val="22"/>
        </w:rPr>
        <w:t>lu</w:t>
      </w:r>
      <w:r w:rsidR="003C5D3B">
        <w:rPr>
          <w:rFonts w:ascii="Tahoma" w:hAnsi="Tahoma" w:cs="Tahoma"/>
          <w:sz w:val="22"/>
          <w:szCs w:val="22"/>
        </w:rPr>
        <w:t>gar de entrada</w:t>
      </w:r>
      <w:r w:rsidR="003C5D3B" w:rsidRPr="003C5D3B">
        <w:rPr>
          <w:rFonts w:ascii="Tahoma" w:hAnsi="Tahoma" w:cs="Tahoma"/>
          <w:sz w:val="22"/>
          <w:szCs w:val="22"/>
        </w:rPr>
        <w:t xml:space="preserve"> en el territorio nacional</w:t>
      </w:r>
      <w:r>
        <w:rPr>
          <w:rFonts w:ascii="Tahoma" w:hAnsi="Tahoma" w:cs="Tahoma"/>
          <w:sz w:val="22"/>
          <w:szCs w:val="22"/>
        </w:rPr>
        <w:t>,</w:t>
      </w:r>
      <w:r w:rsidRPr="001F0E4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incluidos en las condiciones del contrato, se entenderán para efectos aduaneros, como el valor del flete de las mercancías.</w:t>
      </w:r>
    </w:p>
    <w:p w14:paraId="644FDC68" w14:textId="77777777" w:rsidR="001F7797" w:rsidRDefault="001F7797" w:rsidP="001F7797">
      <w:pPr>
        <w:jc w:val="both"/>
        <w:rPr>
          <w:rFonts w:ascii="Tahoma" w:hAnsi="Tahoma" w:cs="Tahoma"/>
          <w:sz w:val="22"/>
          <w:szCs w:val="22"/>
        </w:rPr>
      </w:pPr>
    </w:p>
    <w:p w14:paraId="10199019" w14:textId="39C99597" w:rsidR="00940579" w:rsidRDefault="005365C6" w:rsidP="005365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Los gastos y costos antes indicados corresponderán a datos objetivos y cuantificables, debidamente acreditados </w:t>
      </w:r>
      <w:r w:rsidRPr="007E56D9">
        <w:rPr>
          <w:rFonts w:ascii="Tahoma" w:hAnsi="Tahoma" w:cs="Tahoma"/>
          <w:sz w:val="22"/>
          <w:szCs w:val="22"/>
        </w:rPr>
        <w:t xml:space="preserve">mediante </w:t>
      </w:r>
      <w:r w:rsidR="00740B18" w:rsidRPr="007E56D9">
        <w:rPr>
          <w:rFonts w:ascii="Tahoma" w:hAnsi="Tahoma" w:cs="Tahoma"/>
          <w:sz w:val="22"/>
          <w:szCs w:val="22"/>
        </w:rPr>
        <w:t>documento de transporte</w:t>
      </w:r>
      <w:r w:rsidR="00740B18">
        <w:rPr>
          <w:rFonts w:ascii="Tahoma" w:hAnsi="Tahoma" w:cs="Tahoma"/>
          <w:sz w:val="22"/>
          <w:szCs w:val="22"/>
        </w:rPr>
        <w:t>,</w:t>
      </w:r>
      <w:r w:rsidR="00740B18" w:rsidRPr="007E56D9">
        <w:rPr>
          <w:rFonts w:ascii="Tahoma" w:hAnsi="Tahoma" w:cs="Tahoma"/>
          <w:sz w:val="22"/>
          <w:szCs w:val="22"/>
        </w:rPr>
        <w:t xml:space="preserve"> </w:t>
      </w:r>
      <w:r w:rsidRPr="007E56D9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ó</w:t>
      </w:r>
      <w:r w:rsidR="00740B18">
        <w:rPr>
          <w:rFonts w:ascii="Tahoma" w:hAnsi="Tahoma" w:cs="Tahoma"/>
          <w:sz w:val="22"/>
          <w:szCs w:val="22"/>
        </w:rPr>
        <w:t>liza y/o certificado de seguro</w:t>
      </w:r>
      <w:r w:rsidR="00663EB2">
        <w:rPr>
          <w:rFonts w:ascii="Tahoma" w:hAnsi="Tahoma" w:cs="Tahoma"/>
          <w:sz w:val="22"/>
          <w:szCs w:val="22"/>
        </w:rPr>
        <w:t>, y factura</w:t>
      </w:r>
      <w:r w:rsidR="00BA1E7C">
        <w:rPr>
          <w:rFonts w:ascii="Tahoma" w:hAnsi="Tahoma" w:cs="Tahoma"/>
          <w:sz w:val="22"/>
          <w:szCs w:val="22"/>
        </w:rPr>
        <w:t xml:space="preserve"> comercial</w:t>
      </w:r>
      <w:r w:rsidR="00663EB2">
        <w:rPr>
          <w:rFonts w:ascii="Tahoma" w:hAnsi="Tahoma" w:cs="Tahoma"/>
          <w:sz w:val="22"/>
          <w:szCs w:val="22"/>
        </w:rPr>
        <w:t xml:space="preserve"> cuando exista un cobro complementario</w:t>
      </w:r>
      <w:r w:rsidR="00663EB2" w:rsidRPr="00663EB2">
        <w:t xml:space="preserve"> </w:t>
      </w:r>
      <w:r w:rsidR="00663EB2" w:rsidRPr="00663EB2">
        <w:rPr>
          <w:rFonts w:ascii="Tahoma" w:hAnsi="Tahoma" w:cs="Tahoma"/>
          <w:sz w:val="22"/>
          <w:szCs w:val="22"/>
        </w:rPr>
        <w:t>exigido por la compañía de transporte y/o seguros según corresponda</w:t>
      </w:r>
      <w:r w:rsidR="00C02300">
        <w:rPr>
          <w:rFonts w:ascii="Tahoma" w:hAnsi="Tahoma" w:cs="Tahoma"/>
          <w:sz w:val="22"/>
          <w:szCs w:val="22"/>
        </w:rPr>
        <w:t xml:space="preserve">. </w:t>
      </w:r>
      <w:r w:rsidR="00154E3D">
        <w:rPr>
          <w:rFonts w:ascii="Tahoma" w:hAnsi="Tahoma" w:cs="Tahoma"/>
          <w:sz w:val="22"/>
          <w:szCs w:val="22"/>
        </w:rPr>
        <w:t>Los montos de flete y/o seguro, p</w:t>
      </w:r>
      <w:r w:rsidR="00C02300">
        <w:rPr>
          <w:rFonts w:ascii="Tahoma" w:hAnsi="Tahoma" w:cs="Tahoma"/>
          <w:sz w:val="22"/>
          <w:szCs w:val="22"/>
        </w:rPr>
        <w:t xml:space="preserve">odrán a su vez </w:t>
      </w:r>
      <w:r>
        <w:rPr>
          <w:rFonts w:ascii="Tahoma" w:hAnsi="Tahoma" w:cs="Tahoma"/>
          <w:sz w:val="22"/>
          <w:szCs w:val="22"/>
        </w:rPr>
        <w:t>acreditarse</w:t>
      </w:r>
      <w:r w:rsidR="00663EB2">
        <w:rPr>
          <w:rFonts w:ascii="Tahoma" w:hAnsi="Tahoma" w:cs="Tahoma"/>
          <w:sz w:val="22"/>
          <w:szCs w:val="22"/>
        </w:rPr>
        <w:t xml:space="preserve"> con la</w:t>
      </w:r>
      <w:r w:rsidR="00C02300">
        <w:rPr>
          <w:rFonts w:ascii="Tahoma" w:hAnsi="Tahoma" w:cs="Tahoma"/>
          <w:sz w:val="22"/>
          <w:szCs w:val="22"/>
        </w:rPr>
        <w:t xml:space="preserve"> factura</w:t>
      </w:r>
      <w:r w:rsidR="00663EB2">
        <w:rPr>
          <w:rFonts w:ascii="Tahoma" w:hAnsi="Tahoma" w:cs="Tahoma"/>
          <w:sz w:val="22"/>
          <w:szCs w:val="22"/>
        </w:rPr>
        <w:t xml:space="preserve"> comercial</w:t>
      </w:r>
      <w:r w:rsidR="00C02300">
        <w:rPr>
          <w:rFonts w:ascii="Tahoma" w:hAnsi="Tahoma" w:cs="Tahoma"/>
          <w:sz w:val="22"/>
          <w:szCs w:val="22"/>
        </w:rPr>
        <w:t xml:space="preserve">, </w:t>
      </w:r>
      <w:r w:rsidR="00940579">
        <w:rPr>
          <w:rFonts w:ascii="Tahoma" w:hAnsi="Tahoma" w:cs="Tahoma"/>
          <w:sz w:val="22"/>
          <w:szCs w:val="22"/>
        </w:rPr>
        <w:t>si</w:t>
      </w:r>
      <w:r w:rsidR="001C0F99">
        <w:rPr>
          <w:rFonts w:ascii="Tahoma" w:hAnsi="Tahoma" w:cs="Tahoma"/>
          <w:sz w:val="22"/>
          <w:szCs w:val="22"/>
        </w:rPr>
        <w:t xml:space="preserve"> se encuentren consignados en</w:t>
      </w:r>
      <w:r w:rsidR="00940579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BD6F71">
        <w:rPr>
          <w:rFonts w:ascii="Tahoma" w:hAnsi="Tahoma" w:cs="Tahoma"/>
          <w:sz w:val="22"/>
          <w:szCs w:val="22"/>
        </w:rPr>
        <w:t>é</w:t>
      </w:r>
      <w:r w:rsidR="00154E3D">
        <w:rPr>
          <w:rFonts w:ascii="Tahoma" w:hAnsi="Tahoma" w:cs="Tahoma"/>
          <w:sz w:val="22"/>
          <w:szCs w:val="22"/>
        </w:rPr>
        <w:t>sta</w:t>
      </w:r>
      <w:r w:rsidR="00940579">
        <w:rPr>
          <w:rFonts w:ascii="Tahoma" w:hAnsi="Tahoma" w:cs="Tahoma"/>
          <w:sz w:val="22"/>
          <w:szCs w:val="22"/>
        </w:rPr>
        <w:t xml:space="preserve"> en</w:t>
      </w:r>
      <w:r w:rsidR="001C0F99">
        <w:rPr>
          <w:rFonts w:ascii="Tahoma" w:hAnsi="Tahoma" w:cs="Tahoma"/>
          <w:sz w:val="22"/>
          <w:szCs w:val="22"/>
        </w:rPr>
        <w:t xml:space="preserve"> forma separada</w:t>
      </w:r>
      <w:r>
        <w:rPr>
          <w:rFonts w:ascii="Tahoma" w:hAnsi="Tahoma" w:cs="Tahoma"/>
          <w:sz w:val="22"/>
          <w:szCs w:val="22"/>
        </w:rPr>
        <w:t>, en la medida que sean los efectivamente pagados</w:t>
      </w:r>
      <w:r w:rsidR="00870B8B">
        <w:rPr>
          <w:rFonts w:ascii="Tahoma" w:hAnsi="Tahoma" w:cs="Tahoma"/>
          <w:sz w:val="22"/>
          <w:szCs w:val="22"/>
        </w:rPr>
        <w:t xml:space="preserve"> y</w:t>
      </w:r>
      <w:r w:rsidR="001F7797">
        <w:rPr>
          <w:rFonts w:ascii="Tahoma" w:hAnsi="Tahoma" w:cs="Tahoma"/>
          <w:sz w:val="22"/>
          <w:szCs w:val="22"/>
        </w:rPr>
        <w:t xml:space="preserve"> la cláusula de compraventa sea superior a FOB</w:t>
      </w:r>
      <w:r w:rsidR="001C0F99">
        <w:rPr>
          <w:rFonts w:ascii="Tahoma" w:hAnsi="Tahoma" w:cs="Tahoma"/>
          <w:sz w:val="22"/>
          <w:szCs w:val="22"/>
        </w:rPr>
        <w:t>.</w:t>
      </w:r>
    </w:p>
    <w:p w14:paraId="571E7A74" w14:textId="77777777" w:rsidR="00940579" w:rsidRDefault="00940579" w:rsidP="005365C6">
      <w:pPr>
        <w:jc w:val="both"/>
        <w:rPr>
          <w:rFonts w:ascii="Tahoma" w:hAnsi="Tahoma" w:cs="Tahoma"/>
          <w:sz w:val="22"/>
          <w:szCs w:val="22"/>
        </w:rPr>
      </w:pPr>
    </w:p>
    <w:p w14:paraId="0985FDE2" w14:textId="7D9E0A1B" w:rsidR="00870B8B" w:rsidRDefault="001B3E2F" w:rsidP="005365C6">
      <w:pPr>
        <w:jc w:val="both"/>
        <w:rPr>
          <w:rFonts w:ascii="Tahoma" w:hAnsi="Tahoma" w:cs="Tahoma"/>
          <w:sz w:val="22"/>
          <w:szCs w:val="22"/>
        </w:rPr>
      </w:pPr>
      <w:r w:rsidRPr="001B3E2F">
        <w:rPr>
          <w:rFonts w:ascii="Tahoma" w:hAnsi="Tahoma" w:cs="Tahoma"/>
          <w:sz w:val="22"/>
          <w:szCs w:val="22"/>
        </w:rPr>
        <w:t>Cuando la cláus</w:t>
      </w:r>
      <w:r>
        <w:rPr>
          <w:rFonts w:ascii="Tahoma" w:hAnsi="Tahoma" w:cs="Tahoma"/>
          <w:sz w:val="22"/>
          <w:szCs w:val="22"/>
        </w:rPr>
        <w:t>ula pactada sea superior a FOB,</w:t>
      </w:r>
      <w:r w:rsidRPr="001B3E2F">
        <w:rPr>
          <w:rFonts w:ascii="Tahoma" w:hAnsi="Tahoma" w:cs="Tahoma"/>
          <w:sz w:val="22"/>
          <w:szCs w:val="22"/>
        </w:rPr>
        <w:t xml:space="preserve"> y se produzcan diferencias entre el monto de </w:t>
      </w:r>
      <w:r w:rsidR="006640E7">
        <w:rPr>
          <w:rFonts w:ascii="Tahoma" w:hAnsi="Tahoma" w:cs="Tahoma"/>
          <w:sz w:val="22"/>
          <w:szCs w:val="22"/>
        </w:rPr>
        <w:t>seguro</w:t>
      </w:r>
      <w:r>
        <w:rPr>
          <w:rFonts w:ascii="Tahoma" w:hAnsi="Tahoma" w:cs="Tahoma"/>
          <w:sz w:val="22"/>
          <w:szCs w:val="22"/>
        </w:rPr>
        <w:t xml:space="preserve"> y/o </w:t>
      </w:r>
      <w:r w:rsidRPr="001B3E2F">
        <w:rPr>
          <w:rFonts w:ascii="Tahoma" w:hAnsi="Tahoma" w:cs="Tahoma"/>
          <w:sz w:val="22"/>
          <w:szCs w:val="22"/>
        </w:rPr>
        <w:t xml:space="preserve">de </w:t>
      </w:r>
      <w:r w:rsidR="006640E7">
        <w:rPr>
          <w:rFonts w:ascii="Tahoma" w:hAnsi="Tahoma" w:cs="Tahoma"/>
          <w:sz w:val="22"/>
          <w:szCs w:val="22"/>
        </w:rPr>
        <w:t>flete</w:t>
      </w:r>
      <w:r w:rsidRPr="001B3E2F">
        <w:rPr>
          <w:rFonts w:ascii="Tahoma" w:hAnsi="Tahoma" w:cs="Tahoma"/>
          <w:sz w:val="22"/>
          <w:szCs w:val="22"/>
        </w:rPr>
        <w:t xml:space="preserve"> consignados en factura comercial</w:t>
      </w:r>
      <w:r w:rsidR="00870B8B">
        <w:rPr>
          <w:rFonts w:ascii="Tahoma" w:hAnsi="Tahoma" w:cs="Tahoma"/>
          <w:sz w:val="22"/>
          <w:szCs w:val="22"/>
        </w:rPr>
        <w:t>,</w:t>
      </w:r>
      <w:r w:rsidRPr="001B3E2F">
        <w:rPr>
          <w:rFonts w:ascii="Tahoma" w:hAnsi="Tahoma" w:cs="Tahoma"/>
          <w:sz w:val="22"/>
          <w:szCs w:val="22"/>
        </w:rPr>
        <w:t xml:space="preserve"> con los costos reales que se asientan en </w:t>
      </w:r>
      <w:r w:rsidR="006640E7">
        <w:rPr>
          <w:rFonts w:ascii="Tahoma" w:hAnsi="Tahoma" w:cs="Tahoma"/>
          <w:sz w:val="22"/>
          <w:szCs w:val="22"/>
        </w:rPr>
        <w:t xml:space="preserve">la </w:t>
      </w:r>
      <w:r w:rsidR="006640E7" w:rsidRPr="006640E7">
        <w:rPr>
          <w:rFonts w:ascii="Tahoma" w:hAnsi="Tahoma" w:cs="Tahoma"/>
          <w:sz w:val="22"/>
          <w:szCs w:val="22"/>
        </w:rPr>
        <w:t xml:space="preserve">póliza y/o certificado de seguro </w:t>
      </w:r>
      <w:r w:rsidR="006640E7">
        <w:rPr>
          <w:rFonts w:ascii="Tahoma" w:hAnsi="Tahoma" w:cs="Tahoma"/>
          <w:sz w:val="22"/>
          <w:szCs w:val="22"/>
        </w:rPr>
        <w:t xml:space="preserve">y/o </w:t>
      </w:r>
      <w:r w:rsidRPr="001B3E2F">
        <w:rPr>
          <w:rFonts w:ascii="Tahoma" w:hAnsi="Tahoma" w:cs="Tahoma"/>
          <w:sz w:val="22"/>
          <w:szCs w:val="22"/>
        </w:rPr>
        <w:t xml:space="preserve">documento de </w:t>
      </w:r>
      <w:r w:rsidR="00154E3D">
        <w:rPr>
          <w:rFonts w:ascii="Tahoma" w:hAnsi="Tahoma" w:cs="Tahoma"/>
          <w:sz w:val="22"/>
          <w:szCs w:val="22"/>
        </w:rPr>
        <w:t>transporte</w:t>
      </w:r>
      <w:r w:rsidRPr="001B3E2F">
        <w:rPr>
          <w:rFonts w:ascii="Tahoma" w:hAnsi="Tahoma" w:cs="Tahoma"/>
          <w:sz w:val="22"/>
          <w:szCs w:val="22"/>
        </w:rPr>
        <w:t xml:space="preserve">, se mantendrá el valor </w:t>
      </w:r>
      <w:r w:rsidR="00354D42">
        <w:rPr>
          <w:rFonts w:ascii="Tahoma" w:hAnsi="Tahoma" w:cs="Tahoma"/>
          <w:sz w:val="22"/>
          <w:szCs w:val="22"/>
        </w:rPr>
        <w:t xml:space="preserve">de la suma de los conceptos </w:t>
      </w:r>
      <w:r w:rsidR="00354D42" w:rsidRPr="001B3E2F">
        <w:rPr>
          <w:rFonts w:ascii="Tahoma" w:hAnsi="Tahoma" w:cs="Tahoma"/>
          <w:sz w:val="22"/>
          <w:szCs w:val="22"/>
        </w:rPr>
        <w:t>indicado</w:t>
      </w:r>
      <w:r w:rsidR="00354D42">
        <w:rPr>
          <w:rFonts w:ascii="Tahoma" w:hAnsi="Tahoma" w:cs="Tahoma"/>
          <w:sz w:val="22"/>
          <w:szCs w:val="22"/>
        </w:rPr>
        <w:t>s</w:t>
      </w:r>
      <w:r w:rsidR="00354D42" w:rsidRPr="001B3E2F">
        <w:rPr>
          <w:rFonts w:ascii="Tahoma" w:hAnsi="Tahoma" w:cs="Tahoma"/>
          <w:sz w:val="22"/>
          <w:szCs w:val="22"/>
        </w:rPr>
        <w:t xml:space="preserve"> en factura comercial</w:t>
      </w:r>
      <w:r w:rsidR="00354D42">
        <w:rPr>
          <w:rFonts w:ascii="Tahoma" w:hAnsi="Tahoma" w:cs="Tahoma"/>
          <w:sz w:val="22"/>
          <w:szCs w:val="22"/>
        </w:rPr>
        <w:t xml:space="preserve"> </w:t>
      </w:r>
      <w:r w:rsidR="00647FAD">
        <w:rPr>
          <w:rFonts w:ascii="Tahoma" w:hAnsi="Tahoma" w:cs="Tahoma"/>
          <w:sz w:val="22"/>
          <w:szCs w:val="22"/>
        </w:rPr>
        <w:t>que son parte del</w:t>
      </w:r>
      <w:r w:rsidR="00354D42">
        <w:rPr>
          <w:rFonts w:ascii="Tahoma" w:hAnsi="Tahoma" w:cs="Tahoma"/>
          <w:sz w:val="22"/>
          <w:szCs w:val="22"/>
        </w:rPr>
        <w:t xml:space="preserve"> CIF</w:t>
      </w:r>
      <w:r w:rsidRPr="001B3E2F">
        <w:rPr>
          <w:rFonts w:ascii="Tahoma" w:hAnsi="Tahoma" w:cs="Tahoma"/>
          <w:sz w:val="22"/>
          <w:szCs w:val="22"/>
        </w:rPr>
        <w:t>, ajustándose el</w:t>
      </w:r>
      <w:r w:rsidR="00647FAD">
        <w:rPr>
          <w:rFonts w:ascii="Tahoma" w:hAnsi="Tahoma" w:cs="Tahoma"/>
          <w:sz w:val="22"/>
          <w:szCs w:val="22"/>
        </w:rPr>
        <w:t xml:space="preserve"> valor FOB</w:t>
      </w:r>
      <w:r w:rsidR="00870B8B">
        <w:rPr>
          <w:rFonts w:ascii="Tahoma" w:hAnsi="Tahoma" w:cs="Tahoma"/>
          <w:sz w:val="22"/>
          <w:szCs w:val="22"/>
        </w:rPr>
        <w:t>, conforme a los valores indicados</w:t>
      </w:r>
      <w:r w:rsidR="00870B8B" w:rsidRPr="00870B8B">
        <w:t xml:space="preserve"> </w:t>
      </w:r>
      <w:r w:rsidR="00870B8B" w:rsidRPr="00870B8B">
        <w:rPr>
          <w:rFonts w:ascii="Tahoma" w:hAnsi="Tahoma" w:cs="Tahoma"/>
          <w:sz w:val="22"/>
          <w:szCs w:val="22"/>
        </w:rPr>
        <w:t>en la póliza y/o certificado de seguro y/o documento de</w:t>
      </w:r>
      <w:r w:rsidR="00154E3D">
        <w:rPr>
          <w:rFonts w:ascii="Tahoma" w:hAnsi="Tahoma" w:cs="Tahoma"/>
          <w:sz w:val="22"/>
          <w:szCs w:val="22"/>
        </w:rPr>
        <w:t xml:space="preserve"> transporte</w:t>
      </w:r>
      <w:r w:rsidRPr="001B3E2F">
        <w:rPr>
          <w:rFonts w:ascii="Tahoma" w:hAnsi="Tahoma" w:cs="Tahoma"/>
          <w:sz w:val="22"/>
          <w:szCs w:val="22"/>
        </w:rPr>
        <w:t xml:space="preserve">. </w:t>
      </w:r>
    </w:p>
    <w:p w14:paraId="1AABA9D0" w14:textId="77777777" w:rsidR="00230F58" w:rsidRDefault="00230F58" w:rsidP="005365C6">
      <w:pPr>
        <w:jc w:val="both"/>
        <w:rPr>
          <w:rFonts w:ascii="Tahoma" w:hAnsi="Tahoma" w:cs="Tahoma"/>
          <w:sz w:val="22"/>
          <w:szCs w:val="22"/>
        </w:rPr>
      </w:pPr>
    </w:p>
    <w:p w14:paraId="25796ACD" w14:textId="77777777" w:rsidR="00C33AE0" w:rsidRDefault="00C33AE0" w:rsidP="005365C6">
      <w:pPr>
        <w:jc w:val="both"/>
        <w:rPr>
          <w:rFonts w:ascii="Tahoma" w:hAnsi="Tahoma" w:cs="Tahoma"/>
          <w:sz w:val="22"/>
          <w:szCs w:val="22"/>
        </w:rPr>
      </w:pPr>
    </w:p>
    <w:p w14:paraId="2AA8C809" w14:textId="3189322B" w:rsidR="007F48B3" w:rsidRDefault="00177C2D" w:rsidP="005643CE">
      <w:pPr>
        <w:pStyle w:val="Prrafodelista"/>
        <w:numPr>
          <w:ilvl w:val="1"/>
          <w:numId w:val="7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ELIMÍNANSE</w:t>
      </w:r>
      <w:r w:rsidR="00520557" w:rsidRPr="005643CE">
        <w:rPr>
          <w:rFonts w:ascii="Tahoma" w:hAnsi="Tahoma" w:cs="Tahoma"/>
          <w:sz w:val="22"/>
          <w:szCs w:val="22"/>
        </w:rPr>
        <w:t>, los</w:t>
      </w:r>
      <w:r w:rsidR="007F48B3" w:rsidRPr="005643CE">
        <w:rPr>
          <w:rFonts w:ascii="Tahoma" w:hAnsi="Tahoma" w:cs="Tahoma"/>
          <w:sz w:val="22"/>
          <w:szCs w:val="22"/>
        </w:rPr>
        <w:t xml:space="preserve"> párrafo</w:t>
      </w:r>
      <w:r w:rsidR="00520557" w:rsidRPr="005643CE">
        <w:rPr>
          <w:rFonts w:ascii="Tahoma" w:hAnsi="Tahoma" w:cs="Tahoma"/>
          <w:sz w:val="22"/>
          <w:szCs w:val="22"/>
        </w:rPr>
        <w:t>s</w:t>
      </w:r>
      <w:r w:rsidR="007F48B3" w:rsidRPr="005643CE">
        <w:rPr>
          <w:rFonts w:ascii="Tahoma" w:hAnsi="Tahoma" w:cs="Tahoma"/>
          <w:sz w:val="22"/>
          <w:szCs w:val="22"/>
        </w:rPr>
        <w:t xml:space="preserve"> quinto</w:t>
      </w:r>
      <w:r w:rsidR="00520557" w:rsidRPr="005643CE">
        <w:rPr>
          <w:rFonts w:ascii="Tahoma" w:hAnsi="Tahoma" w:cs="Tahoma"/>
          <w:sz w:val="22"/>
          <w:szCs w:val="22"/>
        </w:rPr>
        <w:t xml:space="preserve"> y sexto actuales</w:t>
      </w:r>
      <w:r w:rsidR="00720E94" w:rsidRPr="005643CE">
        <w:rPr>
          <w:rFonts w:ascii="Tahoma" w:hAnsi="Tahoma" w:cs="Tahoma"/>
          <w:sz w:val="22"/>
          <w:szCs w:val="22"/>
        </w:rPr>
        <w:t>, del presente numeral.</w:t>
      </w:r>
    </w:p>
    <w:p w14:paraId="57876751" w14:textId="77777777" w:rsidR="00F30CB6" w:rsidRDefault="00F30CB6" w:rsidP="00F30CB6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04EC30E2" w14:textId="77777777" w:rsidR="00FB6ACB" w:rsidRDefault="00FB6ACB" w:rsidP="00F30CB6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7E196873" w14:textId="56B1909A" w:rsidR="005643CE" w:rsidRPr="005643CE" w:rsidRDefault="001431C1" w:rsidP="003E1B6D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SUSTITÚYE</w:t>
      </w:r>
      <w:r w:rsidR="005643CE" w:rsidRPr="005643CE">
        <w:rPr>
          <w:rFonts w:ascii="Tahoma" w:hAnsi="Tahoma" w:cs="Tahoma"/>
          <w:b/>
          <w:sz w:val="22"/>
          <w:szCs w:val="22"/>
        </w:rPr>
        <w:t>SE</w:t>
      </w:r>
      <w:r>
        <w:rPr>
          <w:rFonts w:ascii="Tahoma" w:hAnsi="Tahoma" w:cs="Tahoma"/>
          <w:b/>
          <w:sz w:val="22"/>
          <w:szCs w:val="22"/>
        </w:rPr>
        <w:t>,</w:t>
      </w:r>
      <w:r w:rsidR="005643CE">
        <w:rPr>
          <w:rFonts w:ascii="Tahoma" w:hAnsi="Tahoma" w:cs="Tahoma"/>
          <w:sz w:val="22"/>
          <w:szCs w:val="22"/>
        </w:rPr>
        <w:t xml:space="preserve"> la letra k) del numeral 2.8 sobre </w:t>
      </w:r>
      <w:r w:rsidR="005643CE" w:rsidRPr="005643CE">
        <w:rPr>
          <w:rFonts w:ascii="Tahoma" w:hAnsi="Tahoma" w:cs="Tahoma"/>
          <w:sz w:val="22"/>
          <w:szCs w:val="22"/>
        </w:rPr>
        <w:t>Gastos, Costos, Derechos e Impuestos que no se incluyen en el Valor Aduanero</w:t>
      </w:r>
      <w:r w:rsidR="005643CE">
        <w:rPr>
          <w:rFonts w:ascii="Tahoma" w:hAnsi="Tahoma" w:cs="Tahoma"/>
          <w:sz w:val="22"/>
          <w:szCs w:val="22"/>
        </w:rPr>
        <w:t xml:space="preserve"> del </w:t>
      </w:r>
      <w:r w:rsidR="00B01E5E">
        <w:rPr>
          <w:rFonts w:ascii="Tahoma" w:hAnsi="Tahoma" w:cs="Tahoma"/>
          <w:sz w:val="22"/>
          <w:szCs w:val="22"/>
        </w:rPr>
        <w:t xml:space="preserve">Capítulo II </w:t>
      </w:r>
      <w:r w:rsidR="00B01E5E" w:rsidRPr="00EB6B9D">
        <w:rPr>
          <w:rFonts w:ascii="Tahoma" w:hAnsi="Tahoma" w:cs="Tahoma"/>
          <w:sz w:val="22"/>
          <w:szCs w:val="22"/>
        </w:rPr>
        <w:t>“Valoración de</w:t>
      </w:r>
      <w:r w:rsidR="00154E3D">
        <w:rPr>
          <w:rFonts w:ascii="Tahoma" w:hAnsi="Tahoma" w:cs="Tahoma"/>
          <w:sz w:val="22"/>
          <w:szCs w:val="22"/>
        </w:rPr>
        <w:t xml:space="preserve"> las</w:t>
      </w:r>
      <w:r w:rsidR="00B01E5E" w:rsidRPr="00EB6B9D">
        <w:rPr>
          <w:rFonts w:ascii="Tahoma" w:hAnsi="Tahoma" w:cs="Tahoma"/>
          <w:sz w:val="22"/>
          <w:szCs w:val="22"/>
        </w:rPr>
        <w:t xml:space="preserve"> Mercancías”</w:t>
      </w:r>
      <w:r>
        <w:rPr>
          <w:rFonts w:ascii="Tahoma" w:hAnsi="Tahoma" w:cs="Tahoma"/>
          <w:sz w:val="22"/>
          <w:szCs w:val="22"/>
        </w:rPr>
        <w:t>,</w:t>
      </w:r>
      <w:r w:rsidR="00C04C8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por la siguiente</w:t>
      </w:r>
      <w:r w:rsidR="00C04C84">
        <w:rPr>
          <w:rFonts w:ascii="Tahoma" w:hAnsi="Tahoma" w:cs="Tahoma"/>
          <w:sz w:val="22"/>
          <w:szCs w:val="22"/>
        </w:rPr>
        <w:t>:</w:t>
      </w:r>
      <w:r w:rsidR="005643CE">
        <w:rPr>
          <w:rFonts w:ascii="Tahoma" w:hAnsi="Tahoma" w:cs="Tahoma"/>
          <w:sz w:val="22"/>
          <w:szCs w:val="22"/>
        </w:rPr>
        <w:t xml:space="preserve"> </w:t>
      </w:r>
    </w:p>
    <w:p w14:paraId="194DDC9E" w14:textId="77777777" w:rsidR="005365C6" w:rsidRDefault="005365C6" w:rsidP="00B2056C">
      <w:pPr>
        <w:jc w:val="both"/>
        <w:rPr>
          <w:rFonts w:ascii="Tahoma" w:hAnsi="Tahoma" w:cs="Tahoma"/>
          <w:sz w:val="22"/>
          <w:szCs w:val="22"/>
        </w:rPr>
      </w:pPr>
    </w:p>
    <w:p w14:paraId="46E6B549" w14:textId="1530EDFC" w:rsidR="00BE5BC7" w:rsidRDefault="00C04C84" w:rsidP="00B20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k) </w:t>
      </w:r>
      <w:r w:rsidR="007A40BC">
        <w:rPr>
          <w:rFonts w:ascii="Tahoma" w:hAnsi="Tahoma" w:cs="Tahoma"/>
          <w:sz w:val="22"/>
          <w:szCs w:val="22"/>
        </w:rPr>
        <w:t>T</w:t>
      </w:r>
      <w:r w:rsidR="00BE5BC7">
        <w:rPr>
          <w:rFonts w:ascii="Tahoma" w:hAnsi="Tahoma" w:cs="Tahoma"/>
          <w:sz w:val="22"/>
          <w:szCs w:val="22"/>
        </w:rPr>
        <w:t>odos l</w:t>
      </w:r>
      <w:r w:rsidR="008B1ADE" w:rsidRPr="008B1ADE">
        <w:rPr>
          <w:rFonts w:ascii="Tahoma" w:hAnsi="Tahoma" w:cs="Tahoma"/>
          <w:sz w:val="22"/>
          <w:szCs w:val="22"/>
        </w:rPr>
        <w:t xml:space="preserve">os </w:t>
      </w:r>
      <w:r w:rsidR="007A40BC">
        <w:rPr>
          <w:rFonts w:ascii="Tahoma" w:hAnsi="Tahoma" w:cs="Tahoma"/>
          <w:sz w:val="22"/>
          <w:szCs w:val="22"/>
        </w:rPr>
        <w:t xml:space="preserve">gastos </w:t>
      </w:r>
      <w:r w:rsidR="00B817FE">
        <w:rPr>
          <w:rFonts w:ascii="Tahoma" w:hAnsi="Tahoma" w:cs="Tahoma"/>
          <w:sz w:val="22"/>
          <w:szCs w:val="22"/>
        </w:rPr>
        <w:t>efectuados una vez desembarcadas las mercancías,</w:t>
      </w:r>
      <w:r w:rsidR="008B1ADE" w:rsidRPr="008B1ADE">
        <w:rPr>
          <w:rFonts w:ascii="Tahoma" w:hAnsi="Tahoma" w:cs="Tahoma"/>
          <w:sz w:val="22"/>
          <w:szCs w:val="22"/>
        </w:rPr>
        <w:t xml:space="preserve"> </w:t>
      </w:r>
      <w:r w:rsidR="00592DCC" w:rsidRPr="00592DCC">
        <w:rPr>
          <w:rFonts w:ascii="Tahoma" w:hAnsi="Tahoma" w:cs="Tahoma"/>
          <w:sz w:val="22"/>
          <w:szCs w:val="22"/>
        </w:rPr>
        <w:t>en el puerto o lugar de entrada en el territorio nacional</w:t>
      </w:r>
      <w:r w:rsidR="00826DE5">
        <w:rPr>
          <w:rFonts w:ascii="Tahoma" w:hAnsi="Tahoma" w:cs="Tahoma"/>
          <w:sz w:val="22"/>
          <w:szCs w:val="22"/>
        </w:rPr>
        <w:t xml:space="preserve">, </w:t>
      </w:r>
      <w:r w:rsidR="00826DE5" w:rsidRPr="00826DE5">
        <w:rPr>
          <w:rFonts w:ascii="Tahoma" w:hAnsi="Tahoma" w:cs="Tahoma"/>
          <w:sz w:val="22"/>
          <w:szCs w:val="22"/>
        </w:rPr>
        <w:t>siempre que se distingan del precio realmente pagado o por pagar</w:t>
      </w:r>
      <w:r w:rsidR="00826DE5" w:rsidRPr="00826DE5">
        <w:t xml:space="preserve"> </w:t>
      </w:r>
      <w:r w:rsidR="00826DE5" w:rsidRPr="00826DE5">
        <w:rPr>
          <w:rFonts w:ascii="Tahoma" w:hAnsi="Tahoma" w:cs="Tahoma"/>
          <w:sz w:val="22"/>
          <w:szCs w:val="22"/>
        </w:rPr>
        <w:t>por las mercancías importadas</w:t>
      </w:r>
      <w:r w:rsidR="00826DE5">
        <w:rPr>
          <w:rFonts w:ascii="Tahoma" w:hAnsi="Tahoma" w:cs="Tahoma"/>
          <w:sz w:val="22"/>
          <w:szCs w:val="22"/>
        </w:rPr>
        <w:t>, y sean acreditados fehacientemente a la Aduana</w:t>
      </w:r>
      <w:r w:rsidR="00143B1D">
        <w:rPr>
          <w:rFonts w:ascii="Tahoma" w:hAnsi="Tahoma" w:cs="Tahoma"/>
          <w:sz w:val="22"/>
          <w:szCs w:val="22"/>
        </w:rPr>
        <w:t xml:space="preserve"> por las e</w:t>
      </w:r>
      <w:r w:rsidR="00F30641">
        <w:rPr>
          <w:rFonts w:ascii="Tahoma" w:hAnsi="Tahoma" w:cs="Tahoma"/>
          <w:sz w:val="22"/>
          <w:szCs w:val="22"/>
        </w:rPr>
        <w:t>m</w:t>
      </w:r>
      <w:r w:rsidR="00143B1D">
        <w:rPr>
          <w:rFonts w:ascii="Tahoma" w:hAnsi="Tahoma" w:cs="Tahoma"/>
          <w:sz w:val="22"/>
          <w:szCs w:val="22"/>
        </w:rPr>
        <w:t>presas o compañías que presten los servicios correspondientes</w:t>
      </w:r>
      <w:r w:rsidR="00826DE5">
        <w:rPr>
          <w:rFonts w:ascii="Tahoma" w:hAnsi="Tahoma" w:cs="Tahoma"/>
          <w:sz w:val="22"/>
          <w:szCs w:val="22"/>
        </w:rPr>
        <w:t>.</w:t>
      </w:r>
    </w:p>
    <w:p w14:paraId="0651C526" w14:textId="77777777" w:rsidR="00BE5BC7" w:rsidRDefault="00BE5BC7" w:rsidP="00B2056C">
      <w:pPr>
        <w:jc w:val="both"/>
        <w:rPr>
          <w:rFonts w:ascii="Tahoma" w:hAnsi="Tahoma" w:cs="Tahoma"/>
          <w:sz w:val="22"/>
          <w:szCs w:val="22"/>
        </w:rPr>
      </w:pPr>
    </w:p>
    <w:p w14:paraId="741BFBCE" w14:textId="77777777" w:rsidR="00FB6ACB" w:rsidRDefault="00FB6ACB" w:rsidP="00F30CB6">
      <w:pPr>
        <w:pStyle w:val="Prrafodelista"/>
        <w:ind w:left="1080"/>
        <w:jc w:val="both"/>
        <w:rPr>
          <w:rFonts w:ascii="Tahoma" w:hAnsi="Tahoma" w:cs="Tahoma"/>
          <w:sz w:val="22"/>
          <w:szCs w:val="22"/>
        </w:rPr>
      </w:pPr>
    </w:p>
    <w:p w14:paraId="613416BF" w14:textId="122DA3C5" w:rsidR="00F30CB6" w:rsidRPr="003E1B6D" w:rsidRDefault="00F010EA" w:rsidP="00F30CB6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SUSTITÚYESE</w:t>
      </w:r>
      <w:r w:rsidR="00F30CB6">
        <w:rPr>
          <w:rFonts w:ascii="Tahoma" w:hAnsi="Tahoma" w:cs="Tahoma"/>
          <w:b/>
          <w:sz w:val="22"/>
          <w:szCs w:val="22"/>
        </w:rPr>
        <w:t>,</w:t>
      </w:r>
      <w:r w:rsidR="00F30CB6" w:rsidRPr="001431C1">
        <w:rPr>
          <w:rFonts w:ascii="Tahoma" w:hAnsi="Tahoma" w:cs="Tahoma"/>
          <w:b/>
          <w:sz w:val="22"/>
          <w:szCs w:val="22"/>
        </w:rPr>
        <w:t xml:space="preserve"> </w:t>
      </w:r>
      <w:r w:rsidR="00F30CB6" w:rsidRPr="001431C1">
        <w:rPr>
          <w:rFonts w:ascii="Tahoma" w:hAnsi="Tahoma" w:cs="Tahoma"/>
          <w:sz w:val="22"/>
          <w:szCs w:val="22"/>
        </w:rPr>
        <w:t xml:space="preserve">el numeral </w:t>
      </w:r>
      <w:r w:rsidR="00F30CB6">
        <w:rPr>
          <w:rFonts w:ascii="Tahoma" w:hAnsi="Tahoma" w:cs="Tahoma"/>
          <w:sz w:val="22"/>
          <w:szCs w:val="22"/>
        </w:rPr>
        <w:t>9.12</w:t>
      </w:r>
      <w:r w:rsidR="00F30CB6" w:rsidRPr="001431C1">
        <w:rPr>
          <w:rFonts w:ascii="Tahoma" w:hAnsi="Tahoma" w:cs="Tahoma"/>
          <w:sz w:val="22"/>
          <w:szCs w:val="22"/>
        </w:rPr>
        <w:t xml:space="preserve"> </w:t>
      </w:r>
      <w:r w:rsidR="00F30CB6">
        <w:rPr>
          <w:rFonts w:ascii="Tahoma" w:hAnsi="Tahoma" w:cs="Tahoma"/>
          <w:sz w:val="22"/>
          <w:szCs w:val="22"/>
        </w:rPr>
        <w:t xml:space="preserve">sobre </w:t>
      </w:r>
      <w:r w:rsidR="00F30CB6" w:rsidRPr="001431C1">
        <w:rPr>
          <w:rFonts w:ascii="Tahoma" w:hAnsi="Tahoma" w:cs="Tahoma"/>
          <w:sz w:val="22"/>
          <w:szCs w:val="22"/>
        </w:rPr>
        <w:t>Confección de la Declaración</w:t>
      </w:r>
      <w:r w:rsidR="00F30CB6">
        <w:rPr>
          <w:rFonts w:ascii="Tahoma" w:hAnsi="Tahoma" w:cs="Tahoma"/>
          <w:sz w:val="22"/>
          <w:szCs w:val="22"/>
        </w:rPr>
        <w:t xml:space="preserve"> </w:t>
      </w:r>
      <w:r w:rsidR="00F30CB6" w:rsidRPr="001431C1">
        <w:rPr>
          <w:rFonts w:ascii="Tahoma" w:hAnsi="Tahoma" w:cs="Tahoma"/>
          <w:sz w:val="22"/>
          <w:szCs w:val="22"/>
        </w:rPr>
        <w:t>del Capítulo II</w:t>
      </w:r>
      <w:r w:rsidR="00F30CB6">
        <w:rPr>
          <w:rFonts w:ascii="Tahoma" w:hAnsi="Tahoma" w:cs="Tahoma"/>
          <w:sz w:val="22"/>
          <w:szCs w:val="22"/>
        </w:rPr>
        <w:t>I</w:t>
      </w:r>
      <w:r w:rsidR="00F30CB6" w:rsidRPr="001431C1">
        <w:rPr>
          <w:rFonts w:ascii="Tahoma" w:hAnsi="Tahoma" w:cs="Tahoma"/>
          <w:sz w:val="22"/>
          <w:szCs w:val="22"/>
        </w:rPr>
        <w:t xml:space="preserve"> “</w:t>
      </w:r>
      <w:r w:rsidR="00F30CB6">
        <w:rPr>
          <w:rFonts w:ascii="Tahoma" w:hAnsi="Tahoma" w:cs="Tahoma"/>
          <w:sz w:val="22"/>
          <w:szCs w:val="22"/>
        </w:rPr>
        <w:t>Ingreso</w:t>
      </w:r>
      <w:r w:rsidR="00F30CB6" w:rsidRPr="001431C1">
        <w:rPr>
          <w:rFonts w:ascii="Tahoma" w:hAnsi="Tahoma" w:cs="Tahoma"/>
          <w:sz w:val="22"/>
          <w:szCs w:val="22"/>
        </w:rPr>
        <w:t xml:space="preserve"> de Mercancías”, del Compendio de Normas Aduaneras, </w:t>
      </w:r>
      <w:r>
        <w:rPr>
          <w:rFonts w:ascii="Tahoma" w:hAnsi="Tahoma" w:cs="Tahoma"/>
          <w:sz w:val="22"/>
          <w:szCs w:val="22"/>
        </w:rPr>
        <w:t>por</w:t>
      </w:r>
      <w:r w:rsidR="00F30CB6" w:rsidRPr="001431C1">
        <w:rPr>
          <w:rFonts w:ascii="Tahoma" w:hAnsi="Tahoma" w:cs="Tahoma"/>
          <w:sz w:val="22"/>
          <w:szCs w:val="22"/>
        </w:rPr>
        <w:t xml:space="preserve"> el siguiente:</w:t>
      </w:r>
    </w:p>
    <w:p w14:paraId="265976B4" w14:textId="77777777" w:rsidR="00F30CB6" w:rsidRPr="003E1B6D" w:rsidRDefault="00F30CB6" w:rsidP="00F30CB6">
      <w:pPr>
        <w:pStyle w:val="Prrafodelista"/>
        <w:ind w:left="567"/>
        <w:jc w:val="both"/>
        <w:rPr>
          <w:rFonts w:ascii="Tahoma" w:hAnsi="Tahoma" w:cs="Tahoma"/>
          <w:b/>
          <w:sz w:val="22"/>
          <w:szCs w:val="22"/>
        </w:rPr>
      </w:pPr>
    </w:p>
    <w:p w14:paraId="257EF6B8" w14:textId="5BAAE739" w:rsidR="00353733" w:rsidRPr="00355EB1" w:rsidRDefault="00353733" w:rsidP="00353733">
      <w:pPr>
        <w:jc w:val="both"/>
        <w:rPr>
          <w:rFonts w:ascii="Tahoma" w:hAnsi="Tahoma" w:cs="Tahoma"/>
          <w:sz w:val="22"/>
          <w:szCs w:val="22"/>
        </w:rPr>
      </w:pPr>
      <w:r w:rsidRPr="00355EB1">
        <w:rPr>
          <w:rFonts w:ascii="Tahoma" w:hAnsi="Tahoma" w:cs="Tahoma"/>
          <w:sz w:val="22"/>
          <w:szCs w:val="22"/>
        </w:rPr>
        <w:t>9.12 En caso que el monto del flete, seguro y otros gastos</w:t>
      </w:r>
      <w:r w:rsidR="00143B1D">
        <w:rPr>
          <w:rFonts w:ascii="Tahoma" w:hAnsi="Tahoma" w:cs="Tahoma"/>
          <w:sz w:val="22"/>
          <w:szCs w:val="22"/>
        </w:rPr>
        <w:t>,</w:t>
      </w:r>
      <w:r w:rsidRPr="00355EB1">
        <w:rPr>
          <w:rFonts w:ascii="Tahoma" w:hAnsi="Tahoma" w:cs="Tahoma"/>
          <w:sz w:val="22"/>
          <w:szCs w:val="22"/>
        </w:rPr>
        <w:t xml:space="preserve"> se encuentren expresados en forma global</w:t>
      </w:r>
      <w:r w:rsidR="00727251">
        <w:rPr>
          <w:rFonts w:ascii="Tahoma" w:hAnsi="Tahoma" w:cs="Tahoma"/>
          <w:sz w:val="22"/>
          <w:szCs w:val="22"/>
        </w:rPr>
        <w:t xml:space="preserve"> en los documentos que correspondan</w:t>
      </w:r>
      <w:r w:rsidRPr="00355EB1">
        <w:rPr>
          <w:rFonts w:ascii="Tahoma" w:hAnsi="Tahoma" w:cs="Tahoma"/>
          <w:sz w:val="22"/>
          <w:szCs w:val="22"/>
        </w:rPr>
        <w:t>, para conformar el valor CIF de las mercancías, se procederá a distribuir dichos montos proporcionalmente de acuerdo al valor según cláusula de compraventa.</w:t>
      </w:r>
    </w:p>
    <w:p w14:paraId="4D98F585" w14:textId="77777777" w:rsidR="00353733" w:rsidRPr="00355EB1" w:rsidRDefault="00353733" w:rsidP="00353733">
      <w:pPr>
        <w:jc w:val="both"/>
        <w:rPr>
          <w:rFonts w:ascii="Tahoma" w:hAnsi="Tahoma" w:cs="Tahoma"/>
          <w:sz w:val="22"/>
          <w:szCs w:val="22"/>
        </w:rPr>
      </w:pPr>
    </w:p>
    <w:p w14:paraId="12CBAFA3" w14:textId="2B9AD0F1" w:rsidR="00353733" w:rsidRPr="00355EB1" w:rsidRDefault="00353733" w:rsidP="00353733">
      <w:pPr>
        <w:jc w:val="both"/>
        <w:rPr>
          <w:rFonts w:ascii="Tahoma" w:hAnsi="Tahoma" w:cs="Tahoma"/>
          <w:sz w:val="22"/>
          <w:szCs w:val="22"/>
        </w:rPr>
      </w:pPr>
      <w:r w:rsidRPr="00355EB1">
        <w:rPr>
          <w:rFonts w:ascii="Tahoma" w:hAnsi="Tahoma" w:cs="Tahoma"/>
          <w:sz w:val="22"/>
          <w:szCs w:val="22"/>
        </w:rPr>
        <w:t xml:space="preserve">El monto del flete y seguro a distribuir, corresponderá a aquel determinado de acuerdo a las normas contenidas en el Capítulo II sobre Valoración de </w:t>
      </w:r>
      <w:r w:rsidR="009C1C20">
        <w:rPr>
          <w:rFonts w:ascii="Tahoma" w:hAnsi="Tahoma" w:cs="Tahoma"/>
          <w:sz w:val="22"/>
          <w:szCs w:val="22"/>
        </w:rPr>
        <w:t xml:space="preserve">las </w:t>
      </w:r>
      <w:r w:rsidRPr="00355EB1">
        <w:rPr>
          <w:rFonts w:ascii="Tahoma" w:hAnsi="Tahoma" w:cs="Tahoma"/>
          <w:sz w:val="22"/>
          <w:szCs w:val="22"/>
        </w:rPr>
        <w:t xml:space="preserve">Mercancías, y declarado conforme a las instrucciones de llenado </w:t>
      </w:r>
      <w:r w:rsidR="006A77C4">
        <w:rPr>
          <w:rFonts w:ascii="Tahoma" w:hAnsi="Tahoma" w:cs="Tahoma"/>
          <w:sz w:val="22"/>
          <w:szCs w:val="22"/>
        </w:rPr>
        <w:t xml:space="preserve">de la declaración de ingreso, </w:t>
      </w:r>
      <w:r w:rsidRPr="00355EB1">
        <w:rPr>
          <w:rFonts w:ascii="Tahoma" w:hAnsi="Tahoma" w:cs="Tahoma"/>
          <w:sz w:val="22"/>
          <w:szCs w:val="22"/>
        </w:rPr>
        <w:t>que se presentan en el Anexo N° 18 de este Compendio.</w:t>
      </w:r>
    </w:p>
    <w:p w14:paraId="000FD779" w14:textId="77777777" w:rsidR="00353733" w:rsidRPr="00355EB1" w:rsidRDefault="00353733" w:rsidP="00353733">
      <w:pPr>
        <w:jc w:val="both"/>
        <w:rPr>
          <w:rFonts w:ascii="Tahoma" w:hAnsi="Tahoma" w:cs="Tahoma"/>
          <w:sz w:val="22"/>
          <w:szCs w:val="22"/>
        </w:rPr>
      </w:pPr>
    </w:p>
    <w:p w14:paraId="3B30B2DE" w14:textId="59B5CDF7" w:rsidR="003519FD" w:rsidRDefault="003519FD" w:rsidP="0035373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Tratándose de mercancías a granel</w:t>
      </w:r>
      <w:r w:rsidR="007B6D0C">
        <w:rPr>
          <w:rFonts w:ascii="Tahoma" w:hAnsi="Tahoma" w:cs="Tahoma"/>
          <w:sz w:val="22"/>
          <w:szCs w:val="22"/>
        </w:rPr>
        <w:t>, para la cancelación o abono de una DAPI, e</w:t>
      </w:r>
      <w:r w:rsidRPr="003519FD">
        <w:rPr>
          <w:rFonts w:ascii="Tahoma" w:hAnsi="Tahoma" w:cs="Tahoma"/>
          <w:sz w:val="22"/>
          <w:szCs w:val="22"/>
        </w:rPr>
        <w:t>l monto del flete y seguro</w:t>
      </w:r>
      <w:r>
        <w:rPr>
          <w:rFonts w:ascii="Tahoma" w:hAnsi="Tahoma" w:cs="Tahoma"/>
          <w:sz w:val="22"/>
          <w:szCs w:val="22"/>
        </w:rPr>
        <w:t xml:space="preserve">, </w:t>
      </w:r>
      <w:r w:rsidRPr="003519FD">
        <w:rPr>
          <w:rFonts w:ascii="Tahoma" w:hAnsi="Tahoma" w:cs="Tahoma"/>
          <w:sz w:val="22"/>
          <w:szCs w:val="22"/>
        </w:rPr>
        <w:t xml:space="preserve">se deberá distribuir proporcionalmente conforme a la </w:t>
      </w:r>
      <w:r w:rsidR="009C1C20">
        <w:rPr>
          <w:rFonts w:ascii="Tahoma" w:hAnsi="Tahoma" w:cs="Tahoma"/>
          <w:sz w:val="22"/>
          <w:szCs w:val="22"/>
        </w:rPr>
        <w:t xml:space="preserve">cantidad registrada en la </w:t>
      </w:r>
      <w:r w:rsidRPr="003519FD">
        <w:rPr>
          <w:rFonts w:ascii="Tahoma" w:hAnsi="Tahoma" w:cs="Tahoma"/>
          <w:sz w:val="22"/>
          <w:szCs w:val="22"/>
        </w:rPr>
        <w:t xml:space="preserve">respectiva hoja de medida o </w:t>
      </w:r>
      <w:r>
        <w:rPr>
          <w:rFonts w:ascii="Tahoma" w:hAnsi="Tahoma" w:cs="Tahoma"/>
          <w:sz w:val="22"/>
          <w:szCs w:val="22"/>
        </w:rPr>
        <w:t>papeleta de recepción</w:t>
      </w:r>
      <w:r w:rsidRPr="003519FD">
        <w:rPr>
          <w:rFonts w:ascii="Tahoma" w:hAnsi="Tahoma" w:cs="Tahoma"/>
          <w:sz w:val="22"/>
          <w:szCs w:val="22"/>
        </w:rPr>
        <w:t>, según corresponda</w:t>
      </w:r>
      <w:r w:rsidR="007B6D0C">
        <w:rPr>
          <w:rFonts w:ascii="Tahoma" w:hAnsi="Tahoma" w:cs="Tahoma"/>
          <w:sz w:val="22"/>
          <w:szCs w:val="22"/>
        </w:rPr>
        <w:t>, y en caso de existir una merma o exces</w:t>
      </w:r>
      <w:r w:rsidR="002C39B8">
        <w:rPr>
          <w:rFonts w:ascii="Tahoma" w:hAnsi="Tahoma" w:cs="Tahoma"/>
          <w:sz w:val="22"/>
          <w:szCs w:val="22"/>
        </w:rPr>
        <w:t xml:space="preserve">o </w:t>
      </w:r>
      <w:r w:rsidR="00C142D9">
        <w:rPr>
          <w:rFonts w:ascii="Tahoma" w:hAnsi="Tahoma" w:cs="Tahoma"/>
          <w:sz w:val="22"/>
          <w:szCs w:val="22"/>
        </w:rPr>
        <w:t>se estará a lo dispuesto en el numeral 16 del Capítulo II de este Compendio, debiendo ajustar</w:t>
      </w:r>
      <w:r w:rsidR="002C39B8">
        <w:rPr>
          <w:rFonts w:ascii="Tahoma" w:hAnsi="Tahoma" w:cs="Tahoma"/>
          <w:sz w:val="22"/>
          <w:szCs w:val="22"/>
        </w:rPr>
        <w:t xml:space="preserve"> el saldo de flete y seguro, en </w:t>
      </w:r>
      <w:r w:rsidR="009C1C20">
        <w:rPr>
          <w:rFonts w:ascii="Tahoma" w:hAnsi="Tahoma" w:cs="Tahoma"/>
          <w:sz w:val="22"/>
          <w:szCs w:val="22"/>
        </w:rPr>
        <w:t xml:space="preserve">la última operación que </w:t>
      </w:r>
      <w:r w:rsidR="002C39B8" w:rsidRPr="002C39B8">
        <w:rPr>
          <w:rFonts w:ascii="Tahoma" w:hAnsi="Tahoma" w:cs="Tahoma"/>
          <w:sz w:val="22"/>
          <w:szCs w:val="22"/>
        </w:rPr>
        <w:t>cancele la respectiva DAPI</w:t>
      </w:r>
      <w:r w:rsidR="002C39B8">
        <w:rPr>
          <w:rFonts w:ascii="Tahoma" w:hAnsi="Tahoma" w:cs="Tahoma"/>
          <w:sz w:val="22"/>
          <w:szCs w:val="22"/>
        </w:rPr>
        <w:t xml:space="preserve">, a objeto que la sumatoria de dichos montos sea </w:t>
      </w:r>
      <w:r w:rsidR="002C39B8" w:rsidRPr="002C39B8">
        <w:rPr>
          <w:rFonts w:ascii="Tahoma" w:hAnsi="Tahoma" w:cs="Tahoma"/>
          <w:sz w:val="22"/>
          <w:szCs w:val="22"/>
        </w:rPr>
        <w:t>coincidentes con los valores respaldados como gasto total de transporte y costo total del seguro.</w:t>
      </w:r>
    </w:p>
    <w:p w14:paraId="2A45A51D" w14:textId="77777777" w:rsidR="002C39B8" w:rsidRDefault="002C39B8" w:rsidP="00353733">
      <w:pPr>
        <w:jc w:val="both"/>
        <w:rPr>
          <w:rFonts w:ascii="Tahoma" w:hAnsi="Tahoma" w:cs="Tahoma"/>
          <w:sz w:val="22"/>
          <w:szCs w:val="22"/>
        </w:rPr>
      </w:pPr>
    </w:p>
    <w:p w14:paraId="4CDC24CC" w14:textId="77777777" w:rsidR="002C39B8" w:rsidRDefault="002C39B8" w:rsidP="00353733">
      <w:pPr>
        <w:jc w:val="both"/>
        <w:rPr>
          <w:rFonts w:ascii="Tahoma" w:hAnsi="Tahoma" w:cs="Tahoma"/>
          <w:sz w:val="22"/>
          <w:szCs w:val="22"/>
        </w:rPr>
      </w:pPr>
    </w:p>
    <w:p w14:paraId="18282D6D" w14:textId="2E693083" w:rsidR="000000C1" w:rsidRPr="00925BF2" w:rsidRDefault="001D3405" w:rsidP="000000C1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SUSTITÚYESE</w:t>
      </w:r>
      <w:r w:rsidRPr="003F228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</w:t>
      </w:r>
      <w:r w:rsidR="003446A3">
        <w:rPr>
          <w:rFonts w:ascii="Tahoma" w:hAnsi="Tahoma" w:cs="Tahoma"/>
          <w:sz w:val="22"/>
          <w:szCs w:val="22"/>
        </w:rPr>
        <w:t>l numeral 1</w:t>
      </w:r>
      <w:r w:rsidR="00647F63">
        <w:rPr>
          <w:rFonts w:ascii="Tahoma" w:hAnsi="Tahoma" w:cs="Tahoma"/>
          <w:sz w:val="22"/>
          <w:szCs w:val="22"/>
        </w:rPr>
        <w:t>0</w:t>
      </w:r>
      <w:r w:rsidR="00F650F6">
        <w:rPr>
          <w:rFonts w:ascii="Tahoma" w:hAnsi="Tahoma" w:cs="Tahoma"/>
          <w:sz w:val="22"/>
          <w:szCs w:val="22"/>
        </w:rPr>
        <w:t>.</w:t>
      </w:r>
      <w:r w:rsidR="00F010EA">
        <w:rPr>
          <w:rFonts w:ascii="Tahoma" w:hAnsi="Tahoma" w:cs="Tahoma"/>
          <w:sz w:val="22"/>
          <w:szCs w:val="22"/>
        </w:rPr>
        <w:t>7</w:t>
      </w:r>
      <w:r w:rsidR="003446A3">
        <w:rPr>
          <w:rFonts w:ascii="Tahoma" w:hAnsi="Tahoma" w:cs="Tahoma"/>
          <w:sz w:val="22"/>
          <w:szCs w:val="22"/>
        </w:rPr>
        <w:t xml:space="preserve"> del </w:t>
      </w:r>
      <w:r w:rsidR="003446A3" w:rsidRPr="003446A3">
        <w:rPr>
          <w:rFonts w:ascii="Tahoma" w:hAnsi="Tahoma" w:cs="Tahoma"/>
          <w:sz w:val="22"/>
          <w:szCs w:val="22"/>
        </w:rPr>
        <w:t>Anexo 18 del Compendio de Normas Aduaneras, en su apartado I</w:t>
      </w:r>
      <w:r w:rsidR="00DD6C6F">
        <w:rPr>
          <w:rFonts w:ascii="Tahoma" w:hAnsi="Tahoma" w:cs="Tahoma"/>
          <w:sz w:val="22"/>
          <w:szCs w:val="22"/>
        </w:rPr>
        <w:t>,</w:t>
      </w:r>
      <w:r w:rsidR="00FA64B4">
        <w:rPr>
          <w:rFonts w:ascii="Tahoma" w:hAnsi="Tahoma" w:cs="Tahoma"/>
          <w:sz w:val="22"/>
          <w:szCs w:val="22"/>
        </w:rPr>
        <w:t xml:space="preserve"> por el siguiente:</w:t>
      </w:r>
    </w:p>
    <w:p w14:paraId="2243D771" w14:textId="77777777" w:rsidR="00925BF2" w:rsidRDefault="00925BF2" w:rsidP="00925BF2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14:paraId="5B4019FA" w14:textId="5CF5CDF0" w:rsidR="00925BF2" w:rsidRDefault="00925BF2" w:rsidP="00925BF2">
      <w:pPr>
        <w:jc w:val="both"/>
        <w:rPr>
          <w:rFonts w:ascii="Tahoma" w:hAnsi="Tahoma" w:cs="Tahoma"/>
          <w:sz w:val="22"/>
          <w:szCs w:val="22"/>
        </w:rPr>
      </w:pPr>
      <w:r w:rsidRPr="00925BF2">
        <w:rPr>
          <w:rFonts w:ascii="Tahoma" w:hAnsi="Tahoma" w:cs="Tahoma"/>
          <w:sz w:val="22"/>
          <w:szCs w:val="22"/>
        </w:rPr>
        <w:t>10.7 Valor Ex Work</w:t>
      </w:r>
      <w:r w:rsidR="00DD6C6F">
        <w:rPr>
          <w:rFonts w:ascii="Tahoma" w:hAnsi="Tahoma" w:cs="Tahoma"/>
          <w:sz w:val="22"/>
          <w:szCs w:val="22"/>
        </w:rPr>
        <w:t>s (EXW)</w:t>
      </w:r>
      <w:r w:rsidRPr="00925BF2">
        <w:rPr>
          <w:rFonts w:ascii="Tahoma" w:hAnsi="Tahoma" w:cs="Tahoma"/>
          <w:sz w:val="22"/>
          <w:szCs w:val="22"/>
        </w:rPr>
        <w:t xml:space="preserve">: </w:t>
      </w:r>
    </w:p>
    <w:p w14:paraId="3938F02E" w14:textId="77777777" w:rsidR="0071538D" w:rsidRPr="00925BF2" w:rsidRDefault="0071538D" w:rsidP="00925BF2">
      <w:pPr>
        <w:jc w:val="both"/>
        <w:rPr>
          <w:rFonts w:ascii="Tahoma" w:hAnsi="Tahoma" w:cs="Tahoma"/>
          <w:sz w:val="22"/>
          <w:szCs w:val="22"/>
        </w:rPr>
      </w:pPr>
    </w:p>
    <w:p w14:paraId="656B34B4" w14:textId="0C5DC8E7" w:rsidR="00435432" w:rsidRDefault="00435432" w:rsidP="00925BF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Tratándose de una</w:t>
      </w:r>
      <w:r w:rsidRPr="00435432">
        <w:rPr>
          <w:rFonts w:ascii="Tahoma" w:hAnsi="Tahoma" w:cs="Tahoma"/>
          <w:sz w:val="22"/>
          <w:szCs w:val="22"/>
        </w:rPr>
        <w:t xml:space="preserve"> declaración de ingreso</w:t>
      </w:r>
      <w:r>
        <w:rPr>
          <w:rFonts w:ascii="Tahoma" w:hAnsi="Tahoma" w:cs="Tahoma"/>
          <w:sz w:val="22"/>
          <w:szCs w:val="22"/>
        </w:rPr>
        <w:t xml:space="preserve"> con cláusula EXW, indique en dólares de los Estados Unidos, el valor de la</w:t>
      </w:r>
      <w:r w:rsidR="00DB76AC">
        <w:rPr>
          <w:rFonts w:ascii="Tahoma" w:hAnsi="Tahoma" w:cs="Tahoma"/>
          <w:sz w:val="22"/>
          <w:szCs w:val="22"/>
        </w:rPr>
        <w:t xml:space="preserve"> mercancía</w:t>
      </w:r>
      <w:r>
        <w:rPr>
          <w:rFonts w:ascii="Tahoma" w:hAnsi="Tahoma" w:cs="Tahoma"/>
          <w:sz w:val="22"/>
          <w:szCs w:val="22"/>
        </w:rPr>
        <w:t xml:space="preserve"> sin incluir los </w:t>
      </w:r>
      <w:r w:rsidRPr="00435432">
        <w:rPr>
          <w:rFonts w:ascii="Tahoma" w:hAnsi="Tahoma" w:cs="Tahoma"/>
          <w:sz w:val="22"/>
          <w:szCs w:val="22"/>
        </w:rPr>
        <w:t>"Gastos hasta FO</w:t>
      </w:r>
      <w:r w:rsidR="00DB76AC">
        <w:rPr>
          <w:rFonts w:ascii="Tahoma" w:hAnsi="Tahoma" w:cs="Tahoma"/>
          <w:sz w:val="22"/>
          <w:szCs w:val="22"/>
        </w:rPr>
        <w:t>B"</w:t>
      </w:r>
      <w:r w:rsidR="00D105CC">
        <w:rPr>
          <w:rFonts w:ascii="Tahoma" w:hAnsi="Tahoma" w:cs="Tahoma"/>
          <w:sz w:val="22"/>
          <w:szCs w:val="22"/>
        </w:rPr>
        <w:t xml:space="preserve">, </w:t>
      </w:r>
      <w:r w:rsidR="00D105CC" w:rsidRPr="00D105CC">
        <w:rPr>
          <w:rFonts w:ascii="Tahoma" w:hAnsi="Tahoma" w:cs="Tahoma"/>
          <w:sz w:val="22"/>
          <w:szCs w:val="22"/>
        </w:rPr>
        <w:t>de acuerdo a la información consignada en los documentos que le sirven de base</w:t>
      </w:r>
      <w:r w:rsidR="00D105CC">
        <w:rPr>
          <w:rFonts w:ascii="Tahoma" w:hAnsi="Tahoma" w:cs="Tahoma"/>
          <w:sz w:val="22"/>
          <w:szCs w:val="22"/>
        </w:rPr>
        <w:t xml:space="preserve">. </w:t>
      </w:r>
      <w:r w:rsidRPr="00435432">
        <w:rPr>
          <w:rFonts w:ascii="Tahoma" w:hAnsi="Tahoma" w:cs="Tahoma"/>
          <w:sz w:val="22"/>
          <w:szCs w:val="22"/>
        </w:rPr>
        <w:t>En caso que la operación se haya pactado en moneda diferente a dólar de Estados Unidos de América, utilice la equivalencia vigente a la fecha de aceptación a trámite de la declaración.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3128C07" w14:textId="77777777" w:rsidR="00143B1D" w:rsidRDefault="00143B1D" w:rsidP="00925BF2">
      <w:pPr>
        <w:jc w:val="both"/>
        <w:rPr>
          <w:rFonts w:ascii="Tahoma" w:hAnsi="Tahoma" w:cs="Tahoma"/>
          <w:sz w:val="22"/>
          <w:szCs w:val="22"/>
        </w:rPr>
      </w:pPr>
    </w:p>
    <w:p w14:paraId="7A3C5136" w14:textId="77777777" w:rsidR="008B18FA" w:rsidRDefault="008B18FA" w:rsidP="00925BF2">
      <w:pPr>
        <w:jc w:val="both"/>
        <w:rPr>
          <w:rFonts w:ascii="Tahoma" w:hAnsi="Tahoma" w:cs="Tahoma"/>
          <w:sz w:val="22"/>
          <w:szCs w:val="22"/>
        </w:rPr>
      </w:pPr>
    </w:p>
    <w:p w14:paraId="5623442B" w14:textId="03D115E0" w:rsidR="000000C1" w:rsidRDefault="00F010EA" w:rsidP="00F010EA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F010EA">
        <w:rPr>
          <w:rFonts w:ascii="Tahoma" w:hAnsi="Tahoma" w:cs="Tahoma"/>
          <w:b/>
          <w:sz w:val="22"/>
          <w:szCs w:val="22"/>
        </w:rPr>
        <w:t xml:space="preserve">SUSTITÚYESE, </w:t>
      </w:r>
      <w:r w:rsidRPr="00F010EA">
        <w:rPr>
          <w:rFonts w:ascii="Tahoma" w:hAnsi="Tahoma" w:cs="Tahoma"/>
          <w:sz w:val="22"/>
          <w:szCs w:val="22"/>
        </w:rPr>
        <w:t>el numeral 10.8 del Anexo 18 del Compendio de Normas Aduaneras, en su apartado I, por el siguiente:</w:t>
      </w:r>
    </w:p>
    <w:p w14:paraId="0C62E431" w14:textId="77777777" w:rsidR="00F010EA" w:rsidRDefault="00F010EA" w:rsidP="000000C1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14:paraId="6A269C8B" w14:textId="77777777" w:rsidR="00647F63" w:rsidRPr="00647F63" w:rsidRDefault="00647F63" w:rsidP="00647F63">
      <w:pPr>
        <w:jc w:val="both"/>
        <w:rPr>
          <w:rFonts w:ascii="Tahoma" w:hAnsi="Tahoma" w:cs="Tahoma"/>
          <w:sz w:val="22"/>
          <w:szCs w:val="22"/>
        </w:rPr>
      </w:pPr>
      <w:r w:rsidRPr="00647F63">
        <w:rPr>
          <w:rFonts w:ascii="Tahoma" w:hAnsi="Tahoma" w:cs="Tahoma"/>
          <w:sz w:val="22"/>
          <w:szCs w:val="22"/>
        </w:rPr>
        <w:t>10.8 Gastos Hasta FOB:</w:t>
      </w:r>
    </w:p>
    <w:p w14:paraId="66506B7E" w14:textId="77777777" w:rsidR="00647F63" w:rsidRPr="00647F63" w:rsidRDefault="00647F63" w:rsidP="00647F63">
      <w:pPr>
        <w:jc w:val="both"/>
        <w:rPr>
          <w:rFonts w:ascii="Tahoma" w:hAnsi="Tahoma" w:cs="Tahoma"/>
          <w:sz w:val="22"/>
          <w:szCs w:val="22"/>
        </w:rPr>
      </w:pPr>
    </w:p>
    <w:p w14:paraId="3638A94D" w14:textId="3E13DA7D" w:rsidR="00647F63" w:rsidRDefault="00647F63" w:rsidP="00647F63">
      <w:pPr>
        <w:jc w:val="both"/>
        <w:rPr>
          <w:rFonts w:ascii="Tahoma" w:hAnsi="Tahoma" w:cs="Tahoma"/>
          <w:sz w:val="22"/>
          <w:szCs w:val="22"/>
        </w:rPr>
      </w:pPr>
      <w:r w:rsidRPr="00647F63">
        <w:rPr>
          <w:rFonts w:ascii="Tahoma" w:hAnsi="Tahoma" w:cs="Tahoma"/>
          <w:sz w:val="22"/>
          <w:szCs w:val="22"/>
        </w:rPr>
        <w:t xml:space="preserve">Indique en dólares de los Estados Unidos de América, el monto total de los gastos </w:t>
      </w:r>
      <w:r w:rsidR="00143B1D">
        <w:rPr>
          <w:rFonts w:ascii="Tahoma" w:hAnsi="Tahoma" w:cs="Tahoma"/>
          <w:sz w:val="22"/>
          <w:szCs w:val="22"/>
        </w:rPr>
        <w:t xml:space="preserve">originados </w:t>
      </w:r>
      <w:r w:rsidRPr="00647F63">
        <w:rPr>
          <w:rFonts w:ascii="Tahoma" w:hAnsi="Tahoma" w:cs="Tahoma"/>
          <w:sz w:val="22"/>
          <w:szCs w:val="22"/>
        </w:rPr>
        <w:t xml:space="preserve">por el traslado de la mercancía desde </w:t>
      </w:r>
      <w:r w:rsidR="004D1761">
        <w:rPr>
          <w:rFonts w:ascii="Tahoma" w:hAnsi="Tahoma" w:cs="Tahoma"/>
          <w:sz w:val="22"/>
          <w:szCs w:val="22"/>
        </w:rPr>
        <w:t>el lugar de entrega designado</w:t>
      </w:r>
      <w:r w:rsidR="009938F6">
        <w:rPr>
          <w:rFonts w:ascii="Tahoma" w:hAnsi="Tahoma" w:cs="Tahoma"/>
          <w:sz w:val="22"/>
          <w:szCs w:val="22"/>
        </w:rPr>
        <w:t xml:space="preserve"> en el país de exportación</w:t>
      </w:r>
      <w:r w:rsidR="004D1761">
        <w:rPr>
          <w:rFonts w:ascii="Tahoma" w:hAnsi="Tahoma" w:cs="Tahoma"/>
          <w:sz w:val="22"/>
          <w:szCs w:val="22"/>
        </w:rPr>
        <w:t>,</w:t>
      </w:r>
      <w:r w:rsidRPr="00647F63">
        <w:rPr>
          <w:rFonts w:ascii="Tahoma" w:hAnsi="Tahoma" w:cs="Tahoma"/>
          <w:sz w:val="22"/>
          <w:szCs w:val="22"/>
        </w:rPr>
        <w:t xml:space="preserve"> hasta el </w:t>
      </w:r>
      <w:r w:rsidR="006225BF" w:rsidRPr="00647F63">
        <w:rPr>
          <w:rFonts w:ascii="Tahoma" w:hAnsi="Tahoma" w:cs="Tahoma"/>
          <w:sz w:val="22"/>
          <w:szCs w:val="22"/>
        </w:rPr>
        <w:t xml:space="preserve">medio de transporte </w:t>
      </w:r>
      <w:r w:rsidR="006225BF">
        <w:rPr>
          <w:rFonts w:ascii="Tahoma" w:hAnsi="Tahoma" w:cs="Tahoma"/>
          <w:sz w:val="22"/>
          <w:szCs w:val="22"/>
        </w:rPr>
        <w:t>en el puerto de embarque</w:t>
      </w:r>
      <w:r w:rsidRPr="00647F63">
        <w:rPr>
          <w:rFonts w:ascii="Tahoma" w:hAnsi="Tahoma" w:cs="Tahoma"/>
          <w:sz w:val="22"/>
          <w:szCs w:val="22"/>
        </w:rPr>
        <w:t>. En caso que la operación se haya pactado en moneda diferente a dólar USA, utilice la equivalencia vigente a la fecha de presentación de la declaración.</w:t>
      </w:r>
    </w:p>
    <w:p w14:paraId="27483B7F" w14:textId="77777777" w:rsidR="0071538D" w:rsidRDefault="0071538D" w:rsidP="00647F63">
      <w:pPr>
        <w:jc w:val="both"/>
        <w:rPr>
          <w:rFonts w:ascii="Tahoma" w:hAnsi="Tahoma" w:cs="Tahoma"/>
          <w:sz w:val="22"/>
          <w:szCs w:val="22"/>
        </w:rPr>
      </w:pPr>
    </w:p>
    <w:p w14:paraId="18EE3AD9" w14:textId="46756B7F" w:rsidR="00F010EA" w:rsidRDefault="002A03F8" w:rsidP="00647F6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Cuando dichos gastos no estén incluidos en la </w:t>
      </w:r>
      <w:r w:rsidR="001358D9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actura</w:t>
      </w:r>
      <w:r w:rsidR="001358D9">
        <w:rPr>
          <w:rFonts w:ascii="Tahoma" w:hAnsi="Tahoma" w:cs="Tahoma"/>
          <w:sz w:val="22"/>
          <w:szCs w:val="22"/>
        </w:rPr>
        <w:t xml:space="preserve"> comercial</w:t>
      </w:r>
      <w:r w:rsidR="00727251">
        <w:rPr>
          <w:rFonts w:ascii="Tahoma" w:hAnsi="Tahoma" w:cs="Tahoma"/>
          <w:sz w:val="22"/>
          <w:szCs w:val="22"/>
        </w:rPr>
        <w:t xml:space="preserve"> o documento de transporte</w:t>
      </w:r>
      <w:r>
        <w:rPr>
          <w:rFonts w:ascii="Tahoma" w:hAnsi="Tahoma" w:cs="Tahoma"/>
          <w:sz w:val="22"/>
          <w:szCs w:val="22"/>
        </w:rPr>
        <w:t>, deberán estar indicados en una Nota de Gastos conforme a la letra</w:t>
      </w:r>
      <w:r w:rsidR="00F010EA">
        <w:rPr>
          <w:rFonts w:ascii="Tahoma" w:hAnsi="Tahoma" w:cs="Tahoma"/>
          <w:sz w:val="22"/>
          <w:szCs w:val="22"/>
        </w:rPr>
        <w:t xml:space="preserve"> d) del numeral 10.1 del Capítulo III de este Compendio y sobre la base de datos objetivos y cuantificables.</w:t>
      </w:r>
    </w:p>
    <w:p w14:paraId="6CD2D1ED" w14:textId="77777777" w:rsidR="00F010EA" w:rsidRDefault="00F010EA" w:rsidP="00647F63">
      <w:pPr>
        <w:jc w:val="both"/>
        <w:rPr>
          <w:rFonts w:ascii="Tahoma" w:hAnsi="Tahoma" w:cs="Tahoma"/>
          <w:sz w:val="22"/>
          <w:szCs w:val="22"/>
        </w:rPr>
      </w:pPr>
    </w:p>
    <w:p w14:paraId="31DAED2D" w14:textId="77777777" w:rsidR="000000C1" w:rsidRDefault="000000C1" w:rsidP="000000C1">
      <w:pPr>
        <w:pStyle w:val="Prrafodelista"/>
        <w:ind w:left="567"/>
        <w:jc w:val="both"/>
        <w:rPr>
          <w:rFonts w:ascii="Tahoma" w:hAnsi="Tahoma" w:cs="Tahoma"/>
          <w:b/>
          <w:sz w:val="22"/>
          <w:szCs w:val="22"/>
        </w:rPr>
      </w:pPr>
    </w:p>
    <w:p w14:paraId="50793C76" w14:textId="09576821" w:rsidR="000000C1" w:rsidRPr="006C17B1" w:rsidRDefault="000000C1" w:rsidP="000000C1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000C1">
        <w:rPr>
          <w:rFonts w:ascii="Tahoma" w:hAnsi="Tahoma" w:cs="Tahoma"/>
          <w:b/>
          <w:sz w:val="22"/>
          <w:szCs w:val="22"/>
        </w:rPr>
        <w:t xml:space="preserve">SUSTITÚYESE, </w:t>
      </w:r>
      <w:r w:rsidRPr="006C17B1">
        <w:rPr>
          <w:rFonts w:ascii="Tahoma" w:hAnsi="Tahoma" w:cs="Tahoma"/>
          <w:sz w:val="22"/>
          <w:szCs w:val="22"/>
        </w:rPr>
        <w:t>el numeral 14.2 del Anexo 18 del Compendio de Normas Aduaneras, en sus apartados I, II, III, IV, V, VI y VIII por el siguiente:</w:t>
      </w:r>
    </w:p>
    <w:p w14:paraId="7CC6FBCD" w14:textId="77777777" w:rsidR="008B38FF" w:rsidRDefault="008B38FF" w:rsidP="008B38FF">
      <w:pPr>
        <w:pStyle w:val="Prrafodelista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26483C7E" w14:textId="6840B3B9" w:rsidR="005F3C0D" w:rsidRPr="005F3C0D" w:rsidRDefault="005F3C0D" w:rsidP="005F3C0D">
      <w:pPr>
        <w:jc w:val="both"/>
        <w:rPr>
          <w:rFonts w:ascii="Tahoma" w:hAnsi="Tahoma" w:cs="Tahoma"/>
          <w:sz w:val="22"/>
          <w:szCs w:val="22"/>
        </w:rPr>
      </w:pPr>
      <w:r w:rsidRPr="005F3C0D">
        <w:rPr>
          <w:rFonts w:ascii="Tahoma" w:hAnsi="Tahoma" w:cs="Tahoma"/>
          <w:sz w:val="22"/>
          <w:szCs w:val="22"/>
        </w:rPr>
        <w:t>14.2 Flete:</w:t>
      </w:r>
    </w:p>
    <w:p w14:paraId="3C456A51" w14:textId="77777777" w:rsidR="005F3C0D" w:rsidRPr="005F3C0D" w:rsidRDefault="005F3C0D" w:rsidP="005F3C0D">
      <w:pPr>
        <w:jc w:val="both"/>
        <w:rPr>
          <w:rFonts w:ascii="Tahoma" w:hAnsi="Tahoma" w:cs="Tahoma"/>
          <w:sz w:val="22"/>
          <w:szCs w:val="22"/>
        </w:rPr>
      </w:pPr>
    </w:p>
    <w:p w14:paraId="15914488" w14:textId="23B4D5F9" w:rsidR="004D4D5A" w:rsidRDefault="004D4D5A" w:rsidP="005F3C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Consigne el monto y código en el recuadro contiguo anterior</w:t>
      </w:r>
      <w:r w:rsidR="00BF1A7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según corresponda:</w:t>
      </w:r>
    </w:p>
    <w:p w14:paraId="00FED373" w14:textId="77777777" w:rsidR="004D4D5A" w:rsidRDefault="004D4D5A" w:rsidP="005F3C0D">
      <w:pPr>
        <w:jc w:val="both"/>
        <w:rPr>
          <w:rFonts w:ascii="Tahoma" w:hAnsi="Tahoma" w:cs="Tahoma"/>
          <w:sz w:val="22"/>
          <w:szCs w:val="22"/>
        </w:rPr>
      </w:pPr>
    </w:p>
    <w:p w14:paraId="390E70D6" w14:textId="794A532C" w:rsidR="009D3A4C" w:rsidRDefault="00F845B8" w:rsidP="006A77C4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Indique el </w:t>
      </w:r>
      <w:r w:rsidR="004A6C41">
        <w:rPr>
          <w:rFonts w:ascii="Tahoma" w:hAnsi="Tahoma" w:cs="Tahoma"/>
          <w:sz w:val="22"/>
          <w:szCs w:val="22"/>
        </w:rPr>
        <w:t xml:space="preserve">monto efectivamente pagado como </w:t>
      </w:r>
      <w:r w:rsidR="009A2593" w:rsidRPr="009A2593">
        <w:rPr>
          <w:rFonts w:ascii="Tahoma" w:hAnsi="Tahoma" w:cs="Tahoma"/>
          <w:sz w:val="22"/>
          <w:szCs w:val="22"/>
        </w:rPr>
        <w:t>gasto de transporte y gastos de carga, descarga y manipulación ocasionados por el transporte</w:t>
      </w:r>
      <w:r w:rsidR="003A3D4E" w:rsidRPr="009D3A4C">
        <w:rPr>
          <w:rFonts w:ascii="Tahoma" w:hAnsi="Tahoma" w:cs="Tahoma"/>
          <w:sz w:val="22"/>
          <w:szCs w:val="22"/>
        </w:rPr>
        <w:t>,</w:t>
      </w:r>
      <w:r w:rsidR="005F3C0D" w:rsidRPr="009D3A4C">
        <w:rPr>
          <w:rFonts w:ascii="Tahoma" w:hAnsi="Tahoma" w:cs="Tahoma"/>
          <w:sz w:val="22"/>
          <w:szCs w:val="22"/>
        </w:rPr>
        <w:t xml:space="preserve"> desde el puerto de embarque hasta el lugar de entrada </w:t>
      </w:r>
      <w:r w:rsidR="0016178B" w:rsidRPr="009D3A4C">
        <w:rPr>
          <w:rFonts w:ascii="Tahoma" w:hAnsi="Tahoma" w:cs="Tahoma"/>
          <w:sz w:val="22"/>
          <w:szCs w:val="22"/>
        </w:rPr>
        <w:t>de las mercancías</w:t>
      </w:r>
      <w:r w:rsidR="001358D9">
        <w:rPr>
          <w:rFonts w:ascii="Tahoma" w:hAnsi="Tahoma" w:cs="Tahoma"/>
          <w:sz w:val="22"/>
          <w:szCs w:val="22"/>
        </w:rPr>
        <w:t xml:space="preserve"> en el territorio nacional</w:t>
      </w:r>
      <w:r w:rsidR="005F3C0D" w:rsidRPr="009D3A4C">
        <w:rPr>
          <w:rFonts w:ascii="Tahoma" w:hAnsi="Tahoma" w:cs="Tahoma"/>
          <w:sz w:val="22"/>
          <w:szCs w:val="22"/>
        </w:rPr>
        <w:t xml:space="preserve">, de acuerdo a las normas contenidas </w:t>
      </w:r>
      <w:r w:rsidR="00F650F6" w:rsidRPr="009D3A4C">
        <w:rPr>
          <w:rFonts w:ascii="Tahoma" w:hAnsi="Tahoma" w:cs="Tahoma"/>
          <w:sz w:val="22"/>
          <w:szCs w:val="22"/>
        </w:rPr>
        <w:t xml:space="preserve">en el </w:t>
      </w:r>
      <w:r w:rsidR="005F3C0D" w:rsidRPr="009D3A4C">
        <w:rPr>
          <w:rFonts w:ascii="Tahoma" w:hAnsi="Tahoma" w:cs="Tahoma"/>
          <w:sz w:val="22"/>
          <w:szCs w:val="22"/>
        </w:rPr>
        <w:t>Capítulo II de este Compendio.</w:t>
      </w:r>
      <w:r w:rsidR="004D4D5A" w:rsidRPr="009D3A4C">
        <w:rPr>
          <w:rFonts w:ascii="Tahoma" w:hAnsi="Tahoma" w:cs="Tahoma"/>
          <w:sz w:val="22"/>
          <w:szCs w:val="22"/>
        </w:rPr>
        <w:t xml:space="preserve"> </w:t>
      </w:r>
      <w:r w:rsidR="007558E7">
        <w:rPr>
          <w:rFonts w:ascii="Tahoma" w:hAnsi="Tahoma" w:cs="Tahoma"/>
          <w:sz w:val="22"/>
          <w:szCs w:val="22"/>
        </w:rPr>
        <w:t>Lo anterior, s</w:t>
      </w:r>
      <w:r w:rsidR="004D4D5A" w:rsidRPr="009D3A4C">
        <w:rPr>
          <w:rFonts w:ascii="Tahoma" w:hAnsi="Tahoma" w:cs="Tahoma"/>
          <w:sz w:val="22"/>
          <w:szCs w:val="22"/>
        </w:rPr>
        <w:t>in código.</w:t>
      </w:r>
    </w:p>
    <w:p w14:paraId="29C13BC9" w14:textId="77777777" w:rsidR="009D3A4C" w:rsidRDefault="009D3A4C" w:rsidP="00092296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4CC82CC4" w14:textId="06009E4F" w:rsidR="009D3A4C" w:rsidRPr="00092296" w:rsidRDefault="009D3A4C" w:rsidP="0009229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Indique el monto acreditado mediante certificado, emitido al importador por la respectiva compañía</w:t>
      </w:r>
      <w:r w:rsidR="006B1500">
        <w:rPr>
          <w:rFonts w:ascii="Tahoma" w:hAnsi="Tahoma" w:cs="Tahoma"/>
          <w:sz w:val="22"/>
          <w:szCs w:val="22"/>
        </w:rPr>
        <w:t xml:space="preserve"> de transporte</w:t>
      </w:r>
      <w:r w:rsidRPr="00092296">
        <w:rPr>
          <w:rFonts w:ascii="Tahoma" w:hAnsi="Tahoma" w:cs="Tahoma"/>
          <w:sz w:val="22"/>
          <w:szCs w:val="22"/>
        </w:rPr>
        <w:t xml:space="preserve"> que preste dicho servicio, </w:t>
      </w:r>
      <w:r w:rsidR="004D4D5A" w:rsidRPr="00092296">
        <w:rPr>
          <w:rFonts w:ascii="Tahoma" w:hAnsi="Tahoma" w:cs="Tahoma"/>
          <w:sz w:val="22"/>
          <w:szCs w:val="22"/>
        </w:rPr>
        <w:t>t</w:t>
      </w:r>
      <w:r w:rsidR="003A3D4E" w:rsidRPr="00092296">
        <w:rPr>
          <w:rFonts w:ascii="Tahoma" w:hAnsi="Tahoma" w:cs="Tahoma"/>
          <w:sz w:val="22"/>
          <w:szCs w:val="22"/>
        </w:rPr>
        <w:t xml:space="preserve">ratándose </w:t>
      </w:r>
      <w:r w:rsidR="004D4D5A" w:rsidRPr="00092296">
        <w:rPr>
          <w:rFonts w:ascii="Tahoma" w:hAnsi="Tahoma" w:cs="Tahoma"/>
          <w:sz w:val="22"/>
          <w:szCs w:val="22"/>
        </w:rPr>
        <w:t xml:space="preserve">de </w:t>
      </w:r>
      <w:r w:rsidR="003A3D4E" w:rsidRPr="00092296">
        <w:rPr>
          <w:rFonts w:ascii="Tahoma" w:hAnsi="Tahoma" w:cs="Tahoma"/>
          <w:sz w:val="22"/>
          <w:szCs w:val="22"/>
        </w:rPr>
        <w:t>tarifas habitualmente aplicables</w:t>
      </w:r>
      <w:r w:rsidRPr="00092296">
        <w:rPr>
          <w:rFonts w:ascii="Tahoma" w:hAnsi="Tahoma" w:cs="Tahoma"/>
          <w:sz w:val="22"/>
          <w:szCs w:val="22"/>
        </w:rPr>
        <w:t>,</w:t>
      </w:r>
      <w:r w:rsidR="003A3D4E" w:rsidRPr="00092296">
        <w:rPr>
          <w:rFonts w:ascii="Tahoma" w:hAnsi="Tahoma" w:cs="Tahoma"/>
          <w:sz w:val="22"/>
          <w:szCs w:val="22"/>
        </w:rPr>
        <w:t xml:space="preserve"> </w:t>
      </w:r>
      <w:r w:rsidR="004D4D5A" w:rsidRPr="00092296">
        <w:rPr>
          <w:rFonts w:ascii="Tahoma" w:hAnsi="Tahoma" w:cs="Tahoma"/>
          <w:sz w:val="22"/>
          <w:szCs w:val="22"/>
        </w:rPr>
        <w:t>de acuerdo a las normas contenidas en el Capítulo II de este Compendio</w:t>
      </w:r>
      <w:r w:rsidRPr="00092296">
        <w:rPr>
          <w:rFonts w:ascii="Tahoma" w:hAnsi="Tahoma" w:cs="Tahoma"/>
          <w:sz w:val="22"/>
          <w:szCs w:val="22"/>
        </w:rPr>
        <w:t>.</w:t>
      </w:r>
      <w:r w:rsidR="00092296" w:rsidRPr="00D26F48">
        <w:rPr>
          <w:rFonts w:ascii="Tahoma" w:hAnsi="Tahoma" w:cs="Tahoma"/>
          <w:sz w:val="22"/>
          <w:szCs w:val="22"/>
        </w:rPr>
        <w:t xml:space="preserve"> </w:t>
      </w:r>
      <w:r w:rsidR="00D26F48" w:rsidRPr="00D26F48">
        <w:rPr>
          <w:rFonts w:ascii="Tahoma" w:hAnsi="Tahoma" w:cs="Tahoma"/>
          <w:sz w:val="22"/>
          <w:szCs w:val="22"/>
        </w:rPr>
        <w:t>Lo precedente</w:t>
      </w:r>
      <w:r w:rsidR="00D26F48">
        <w:t xml:space="preserve"> </w:t>
      </w:r>
      <w:r w:rsidR="00D26F48" w:rsidRPr="00092296">
        <w:rPr>
          <w:rFonts w:ascii="Tahoma" w:hAnsi="Tahoma" w:cs="Tahoma"/>
          <w:sz w:val="22"/>
          <w:szCs w:val="22"/>
        </w:rPr>
        <w:t>deberá consignarse</w:t>
      </w:r>
      <w:r w:rsidR="00D26F48">
        <w:rPr>
          <w:rFonts w:ascii="Tahoma" w:hAnsi="Tahoma" w:cs="Tahoma"/>
          <w:sz w:val="22"/>
          <w:szCs w:val="22"/>
        </w:rPr>
        <w:t xml:space="preserve"> con e</w:t>
      </w:r>
      <w:r w:rsidR="005A6EC9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5A6EC9">
        <w:rPr>
          <w:rFonts w:ascii="Tahoma" w:hAnsi="Tahoma" w:cs="Tahoma"/>
          <w:sz w:val="22"/>
          <w:szCs w:val="22"/>
        </w:rPr>
        <w:t xml:space="preserve"> "1</w:t>
      </w:r>
      <w:r w:rsidR="00092296"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23597A7B" w14:textId="77777777" w:rsidR="009D3A4C" w:rsidRPr="009D3A4C" w:rsidRDefault="009D3A4C" w:rsidP="00092296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42B7FE1B" w14:textId="2F3087D6" w:rsidR="00363E0B" w:rsidRPr="00092296" w:rsidRDefault="009D3A4C" w:rsidP="0009229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Indique el monto resultante de aplicar un 5% sobr</w:t>
      </w:r>
      <w:r w:rsidR="00C27AAE" w:rsidRPr="00092296">
        <w:rPr>
          <w:rFonts w:ascii="Tahoma" w:hAnsi="Tahoma" w:cs="Tahoma"/>
          <w:sz w:val="22"/>
          <w:szCs w:val="22"/>
        </w:rPr>
        <w:t>e el valor FOB de la mercancía</w:t>
      </w:r>
      <w:r w:rsidR="00363E0B" w:rsidRPr="00092296">
        <w:rPr>
          <w:rFonts w:ascii="Tahoma" w:hAnsi="Tahoma" w:cs="Tahoma"/>
          <w:sz w:val="22"/>
          <w:szCs w:val="22"/>
        </w:rPr>
        <w:t>, cuando estas ingresan por vía marítima</w:t>
      </w:r>
      <w:r w:rsidR="00C94D6F">
        <w:rPr>
          <w:rFonts w:ascii="Tahoma" w:hAnsi="Tahoma" w:cs="Tahoma"/>
          <w:sz w:val="22"/>
          <w:szCs w:val="22"/>
        </w:rPr>
        <w:t xml:space="preserve"> y</w:t>
      </w:r>
      <w:r w:rsidR="00363E0B" w:rsidRPr="00092296">
        <w:rPr>
          <w:rFonts w:ascii="Tahoma" w:hAnsi="Tahoma" w:cs="Tahoma"/>
          <w:sz w:val="22"/>
          <w:szCs w:val="22"/>
        </w:rPr>
        <w:t>,</w:t>
      </w:r>
      <w:r w:rsidR="00C94D6F">
        <w:rPr>
          <w:rFonts w:ascii="Tahoma" w:hAnsi="Tahoma" w:cs="Tahoma"/>
          <w:sz w:val="22"/>
          <w:szCs w:val="22"/>
        </w:rPr>
        <w:t xml:space="preserve"> se encuentre</w:t>
      </w:r>
      <w:r w:rsidR="00363E0B" w:rsidRPr="00092296">
        <w:rPr>
          <w:rFonts w:ascii="Tahoma" w:hAnsi="Tahoma" w:cs="Tahoma"/>
          <w:sz w:val="22"/>
          <w:szCs w:val="22"/>
        </w:rPr>
        <w:t xml:space="preserve"> ante la imposibilidad de acreditar </w:t>
      </w:r>
      <w:r w:rsidR="00227934">
        <w:rPr>
          <w:rFonts w:ascii="Tahoma" w:hAnsi="Tahoma" w:cs="Tahoma"/>
          <w:sz w:val="22"/>
          <w:szCs w:val="22"/>
        </w:rPr>
        <w:t xml:space="preserve">los </w:t>
      </w:r>
      <w:r w:rsidR="00363E0B" w:rsidRPr="00092296">
        <w:rPr>
          <w:rFonts w:ascii="Tahoma" w:hAnsi="Tahoma" w:cs="Tahoma"/>
          <w:sz w:val="22"/>
          <w:szCs w:val="22"/>
        </w:rPr>
        <w:t>montos efectivos o habituales, de acuerdo a las normas contenidas en el Capítulo II de este Compendio.</w:t>
      </w:r>
      <w:r w:rsidR="00092296" w:rsidRPr="00092296">
        <w:t xml:space="preserve"> </w:t>
      </w:r>
      <w:r w:rsidR="00C94D6F" w:rsidRPr="00C94D6F">
        <w:rPr>
          <w:rFonts w:ascii="Tahoma" w:hAnsi="Tahoma" w:cs="Tahoma"/>
          <w:sz w:val="22"/>
          <w:szCs w:val="22"/>
        </w:rPr>
        <w:t xml:space="preserve">Lo anterior, </w:t>
      </w:r>
      <w:r w:rsidR="00C94D6F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C94D6F">
        <w:rPr>
          <w:rFonts w:ascii="Tahoma" w:hAnsi="Tahoma" w:cs="Tahoma"/>
          <w:sz w:val="22"/>
          <w:szCs w:val="22"/>
        </w:rPr>
        <w:t>con e</w:t>
      </w:r>
      <w:r w:rsidR="00092296" w:rsidRPr="00092296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092296" w:rsidRPr="00092296">
        <w:rPr>
          <w:rFonts w:ascii="Tahoma" w:hAnsi="Tahoma" w:cs="Tahoma"/>
          <w:sz w:val="22"/>
          <w:szCs w:val="22"/>
        </w:rPr>
        <w:t xml:space="preserve"> "5" en el recuadro contiguo anterior.</w:t>
      </w:r>
    </w:p>
    <w:p w14:paraId="7359F9C3" w14:textId="77777777" w:rsidR="00363E0B" w:rsidRPr="00363E0B" w:rsidRDefault="00363E0B" w:rsidP="00092296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1B916260" w14:textId="1A75ECCD" w:rsidR="0022309E" w:rsidRPr="00092296" w:rsidRDefault="00363E0B" w:rsidP="0009229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</w:t>
      </w:r>
      <w:r w:rsidR="0022309E" w:rsidRPr="00092296">
        <w:rPr>
          <w:rFonts w:ascii="Tahoma" w:hAnsi="Tahoma" w:cs="Tahoma"/>
          <w:sz w:val="22"/>
          <w:szCs w:val="22"/>
        </w:rPr>
        <w:t xml:space="preserve">e el monto de la tabla supletoria de tarifas flete aéreo, conforme a la zona geográfica </w:t>
      </w:r>
      <w:r w:rsidR="00C94D6F">
        <w:rPr>
          <w:rFonts w:ascii="Tahoma" w:hAnsi="Tahoma" w:cs="Tahoma"/>
          <w:sz w:val="22"/>
          <w:szCs w:val="22"/>
        </w:rPr>
        <w:t xml:space="preserve">del envío, </w:t>
      </w:r>
      <w:r w:rsidR="00923A42">
        <w:rPr>
          <w:rFonts w:ascii="Tahoma" w:hAnsi="Tahoma" w:cs="Tahoma"/>
          <w:sz w:val="22"/>
          <w:szCs w:val="22"/>
        </w:rPr>
        <w:t>cuando no se acredite el monto</w:t>
      </w:r>
      <w:r w:rsidR="0022309E" w:rsidRPr="00092296">
        <w:rPr>
          <w:rFonts w:ascii="Tahoma" w:hAnsi="Tahoma" w:cs="Tahoma"/>
          <w:sz w:val="22"/>
          <w:szCs w:val="22"/>
        </w:rPr>
        <w:t xml:space="preserve"> del transporte por dicha vía, de acuerdo a las normas contenidas en el Capítulo II de este Compendio.</w:t>
      </w:r>
      <w:r w:rsidR="00092296" w:rsidRPr="00092296">
        <w:t xml:space="preserve"> </w:t>
      </w:r>
      <w:r w:rsidR="00C94D6F" w:rsidRPr="00D26F48">
        <w:rPr>
          <w:rFonts w:ascii="Tahoma" w:hAnsi="Tahoma" w:cs="Tahoma"/>
          <w:sz w:val="22"/>
          <w:szCs w:val="22"/>
        </w:rPr>
        <w:t>Lo precedente</w:t>
      </w:r>
      <w:r w:rsidR="00C94D6F">
        <w:t xml:space="preserve"> </w:t>
      </w:r>
      <w:r w:rsidR="00C94D6F" w:rsidRPr="00092296">
        <w:rPr>
          <w:rFonts w:ascii="Tahoma" w:hAnsi="Tahoma" w:cs="Tahoma"/>
          <w:sz w:val="22"/>
          <w:szCs w:val="22"/>
        </w:rPr>
        <w:t>deberá consignarse</w:t>
      </w:r>
      <w:r w:rsidR="00C94D6F">
        <w:rPr>
          <w:rFonts w:ascii="Tahoma" w:hAnsi="Tahoma" w:cs="Tahoma"/>
          <w:sz w:val="22"/>
          <w:szCs w:val="22"/>
        </w:rPr>
        <w:t xml:space="preserve"> con e</w:t>
      </w:r>
      <w:r w:rsidR="005A6EC9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5A6EC9">
        <w:rPr>
          <w:rFonts w:ascii="Tahoma" w:hAnsi="Tahoma" w:cs="Tahoma"/>
          <w:sz w:val="22"/>
          <w:szCs w:val="22"/>
        </w:rPr>
        <w:t xml:space="preserve"> "3</w:t>
      </w:r>
      <w:r w:rsidR="00092296"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111FC518" w14:textId="77777777" w:rsidR="0022309E" w:rsidRPr="0022309E" w:rsidRDefault="0022309E" w:rsidP="00092296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54FC0FAA" w14:textId="1F504D8B" w:rsidR="00092296" w:rsidRDefault="00092296" w:rsidP="0009229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 xml:space="preserve">Indique el monto resultante de aplicar </w:t>
      </w:r>
      <w:r w:rsidR="00982A32">
        <w:rPr>
          <w:rFonts w:ascii="Tahoma" w:hAnsi="Tahoma" w:cs="Tahoma"/>
          <w:sz w:val="22"/>
          <w:szCs w:val="22"/>
        </w:rPr>
        <w:t>la división</w:t>
      </w:r>
      <w:r w:rsidR="00982A32" w:rsidRPr="00092296">
        <w:rPr>
          <w:rFonts w:ascii="Tahoma" w:hAnsi="Tahoma" w:cs="Tahoma"/>
          <w:sz w:val="22"/>
          <w:szCs w:val="22"/>
        </w:rPr>
        <w:t xml:space="preserve"> </w:t>
      </w:r>
      <w:r w:rsidRPr="00092296">
        <w:rPr>
          <w:rFonts w:ascii="Tahoma" w:hAnsi="Tahoma" w:cs="Tahoma"/>
          <w:sz w:val="22"/>
          <w:szCs w:val="22"/>
        </w:rPr>
        <w:t xml:space="preserve">del costo total entre los tramos internos y externos, cuando las mercancías ingresen por vía terrestre, y dicha distribución no exista en el respectivo </w:t>
      </w:r>
      <w:r w:rsidR="00727251">
        <w:rPr>
          <w:rFonts w:ascii="Tahoma" w:hAnsi="Tahoma" w:cs="Tahoma"/>
          <w:sz w:val="22"/>
          <w:szCs w:val="22"/>
        </w:rPr>
        <w:t>documento de transporte</w:t>
      </w:r>
      <w:r w:rsidRPr="00092296">
        <w:rPr>
          <w:rFonts w:ascii="Tahoma" w:hAnsi="Tahoma" w:cs="Tahoma"/>
          <w:sz w:val="22"/>
          <w:szCs w:val="22"/>
        </w:rPr>
        <w:t>, de acuerdo a las normas contenidas en el Capítulo II de este Compendio.</w:t>
      </w:r>
      <w:r w:rsidRPr="00092296">
        <w:t xml:space="preserve"> </w:t>
      </w:r>
      <w:r w:rsidR="00982A32" w:rsidRPr="00C94D6F">
        <w:rPr>
          <w:rFonts w:ascii="Tahoma" w:hAnsi="Tahoma" w:cs="Tahoma"/>
          <w:sz w:val="22"/>
          <w:szCs w:val="22"/>
        </w:rPr>
        <w:t xml:space="preserve">Lo anterior, </w:t>
      </w:r>
      <w:r w:rsidR="00982A32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982A32">
        <w:rPr>
          <w:rFonts w:ascii="Tahoma" w:hAnsi="Tahoma" w:cs="Tahoma"/>
          <w:sz w:val="22"/>
          <w:szCs w:val="22"/>
        </w:rPr>
        <w:t>con e</w:t>
      </w:r>
      <w:r w:rsidR="005A6EC9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5A6EC9">
        <w:rPr>
          <w:rFonts w:ascii="Tahoma" w:hAnsi="Tahoma" w:cs="Tahoma"/>
          <w:sz w:val="22"/>
          <w:szCs w:val="22"/>
        </w:rPr>
        <w:t xml:space="preserve"> "4</w:t>
      </w:r>
      <w:r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14899744" w14:textId="77777777" w:rsidR="00F650F6" w:rsidRDefault="00F650F6" w:rsidP="005F3C0D">
      <w:pPr>
        <w:jc w:val="both"/>
        <w:rPr>
          <w:rFonts w:ascii="Tahoma" w:hAnsi="Tahoma" w:cs="Tahoma"/>
          <w:sz w:val="22"/>
          <w:szCs w:val="22"/>
        </w:rPr>
      </w:pPr>
    </w:p>
    <w:p w14:paraId="70980665" w14:textId="77777777" w:rsidR="00FB6ACB" w:rsidRDefault="00FB6ACB" w:rsidP="005F3C0D">
      <w:pPr>
        <w:jc w:val="both"/>
        <w:rPr>
          <w:rFonts w:ascii="Tahoma" w:hAnsi="Tahoma" w:cs="Tahoma"/>
          <w:sz w:val="22"/>
          <w:szCs w:val="22"/>
        </w:rPr>
      </w:pPr>
    </w:p>
    <w:p w14:paraId="7DC509EC" w14:textId="13032ADB" w:rsidR="00F650F6" w:rsidRPr="00F718DD" w:rsidRDefault="00F650F6" w:rsidP="00F718DD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718DD">
        <w:rPr>
          <w:rFonts w:ascii="Tahoma" w:hAnsi="Tahoma" w:cs="Tahoma"/>
          <w:b/>
          <w:sz w:val="22"/>
          <w:szCs w:val="22"/>
        </w:rPr>
        <w:lastRenderedPageBreak/>
        <w:t>SUSTITÚYESE</w:t>
      </w:r>
      <w:r w:rsidRPr="00F718DD">
        <w:rPr>
          <w:rFonts w:ascii="Tahoma" w:hAnsi="Tahoma" w:cs="Tahoma"/>
          <w:sz w:val="22"/>
          <w:szCs w:val="22"/>
        </w:rPr>
        <w:t>, el numeral 14.3 del Anexo 18 del Compendio de Normas Ad</w:t>
      </w:r>
      <w:r w:rsidR="00C2501A" w:rsidRPr="00F718DD">
        <w:rPr>
          <w:rFonts w:ascii="Tahoma" w:hAnsi="Tahoma" w:cs="Tahoma"/>
          <w:sz w:val="22"/>
          <w:szCs w:val="22"/>
        </w:rPr>
        <w:t>uaneras, en sus apartados I, II y</w:t>
      </w:r>
      <w:r w:rsidRPr="00F718DD">
        <w:rPr>
          <w:rFonts w:ascii="Tahoma" w:hAnsi="Tahoma" w:cs="Tahoma"/>
          <w:sz w:val="22"/>
          <w:szCs w:val="22"/>
        </w:rPr>
        <w:t xml:space="preserve"> III por el siguiente:</w:t>
      </w:r>
    </w:p>
    <w:p w14:paraId="4F2234E5" w14:textId="77777777" w:rsidR="005F3C0D" w:rsidRDefault="005F3C0D" w:rsidP="005F3C0D">
      <w:pPr>
        <w:jc w:val="both"/>
        <w:rPr>
          <w:rFonts w:ascii="Tahoma" w:hAnsi="Tahoma" w:cs="Tahoma"/>
          <w:sz w:val="22"/>
          <w:szCs w:val="22"/>
        </w:rPr>
      </w:pPr>
    </w:p>
    <w:p w14:paraId="2ED79CEF" w14:textId="1D75A566" w:rsidR="005F3C0D" w:rsidRDefault="005F3C0D" w:rsidP="005F3C0D">
      <w:pPr>
        <w:jc w:val="both"/>
        <w:rPr>
          <w:rFonts w:ascii="Tahoma" w:hAnsi="Tahoma" w:cs="Tahoma"/>
          <w:sz w:val="22"/>
          <w:szCs w:val="22"/>
        </w:rPr>
      </w:pPr>
      <w:r w:rsidRPr="005F3C0D">
        <w:rPr>
          <w:rFonts w:ascii="Tahoma" w:hAnsi="Tahoma" w:cs="Tahoma"/>
          <w:sz w:val="22"/>
          <w:szCs w:val="22"/>
        </w:rPr>
        <w:t>14.3 Seguro:</w:t>
      </w:r>
    </w:p>
    <w:p w14:paraId="008D7526" w14:textId="77777777" w:rsidR="00CB065C" w:rsidRDefault="00CB065C" w:rsidP="005F3C0D">
      <w:pPr>
        <w:jc w:val="both"/>
        <w:rPr>
          <w:rFonts w:ascii="Tahoma" w:hAnsi="Tahoma" w:cs="Tahoma"/>
          <w:sz w:val="22"/>
          <w:szCs w:val="22"/>
        </w:rPr>
      </w:pPr>
    </w:p>
    <w:p w14:paraId="4DD3DD23" w14:textId="60209E71" w:rsidR="00CB065C" w:rsidRDefault="00CB065C" w:rsidP="005F3C0D">
      <w:p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>Consigne el monto y código en el recuadro contiguo anterior</w:t>
      </w:r>
      <w:r w:rsidR="00227934">
        <w:rPr>
          <w:rFonts w:ascii="Tahoma" w:hAnsi="Tahoma" w:cs="Tahoma"/>
          <w:sz w:val="22"/>
          <w:szCs w:val="22"/>
        </w:rPr>
        <w:t>,</w:t>
      </w:r>
      <w:r w:rsidRPr="00CB065C">
        <w:rPr>
          <w:rFonts w:ascii="Tahoma" w:hAnsi="Tahoma" w:cs="Tahoma"/>
          <w:sz w:val="22"/>
          <w:szCs w:val="22"/>
        </w:rPr>
        <w:t xml:space="preserve"> según corresponda:</w:t>
      </w:r>
    </w:p>
    <w:p w14:paraId="68076D11" w14:textId="77777777" w:rsidR="00CB065C" w:rsidRDefault="00CB065C" w:rsidP="005F3C0D">
      <w:pPr>
        <w:jc w:val="both"/>
        <w:rPr>
          <w:rFonts w:ascii="Tahoma" w:hAnsi="Tahoma" w:cs="Tahoma"/>
          <w:sz w:val="22"/>
          <w:szCs w:val="22"/>
        </w:rPr>
      </w:pPr>
    </w:p>
    <w:p w14:paraId="5243788D" w14:textId="6BABC5A0" w:rsidR="00CF7AC9" w:rsidRDefault="005F3C0D" w:rsidP="00CF7AC9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CF7AC9">
        <w:rPr>
          <w:rFonts w:ascii="Tahoma" w:hAnsi="Tahoma" w:cs="Tahoma"/>
          <w:sz w:val="22"/>
          <w:szCs w:val="22"/>
        </w:rPr>
        <w:t xml:space="preserve">Indique el </w:t>
      </w:r>
      <w:r w:rsidR="00CF7AC9" w:rsidRPr="00CF7AC9">
        <w:rPr>
          <w:rFonts w:ascii="Tahoma" w:hAnsi="Tahoma" w:cs="Tahoma"/>
          <w:sz w:val="22"/>
          <w:szCs w:val="22"/>
        </w:rPr>
        <w:t xml:space="preserve">monto </w:t>
      </w:r>
      <w:r w:rsidR="004A6C41">
        <w:rPr>
          <w:rFonts w:ascii="Tahoma" w:hAnsi="Tahoma" w:cs="Tahoma"/>
          <w:sz w:val="22"/>
          <w:szCs w:val="22"/>
        </w:rPr>
        <w:t xml:space="preserve">efectivamente pagado </w:t>
      </w:r>
      <w:r w:rsidR="00001E3B">
        <w:rPr>
          <w:rFonts w:ascii="Tahoma" w:hAnsi="Tahoma" w:cs="Tahoma"/>
          <w:sz w:val="22"/>
          <w:szCs w:val="22"/>
        </w:rPr>
        <w:t>como costo del</w:t>
      </w:r>
      <w:r w:rsidR="004A6C41">
        <w:rPr>
          <w:rFonts w:ascii="Tahoma" w:hAnsi="Tahoma" w:cs="Tahoma"/>
          <w:sz w:val="22"/>
          <w:szCs w:val="22"/>
        </w:rPr>
        <w:t xml:space="preserve"> </w:t>
      </w:r>
      <w:r w:rsidR="00CF7AC9" w:rsidRPr="00CF7AC9">
        <w:rPr>
          <w:rFonts w:ascii="Tahoma" w:hAnsi="Tahoma" w:cs="Tahoma"/>
          <w:sz w:val="22"/>
          <w:szCs w:val="22"/>
        </w:rPr>
        <w:t>seguro</w:t>
      </w:r>
      <w:r w:rsidR="00CF7AC9">
        <w:rPr>
          <w:rFonts w:ascii="Tahoma" w:hAnsi="Tahoma" w:cs="Tahoma"/>
          <w:sz w:val="22"/>
          <w:szCs w:val="22"/>
        </w:rPr>
        <w:t xml:space="preserve">, </w:t>
      </w:r>
      <w:r w:rsidR="00CF7AC9" w:rsidRPr="00CF7AC9">
        <w:rPr>
          <w:rFonts w:ascii="Tahoma" w:hAnsi="Tahoma" w:cs="Tahoma"/>
          <w:sz w:val="22"/>
          <w:szCs w:val="22"/>
        </w:rPr>
        <w:t>conforme a los términos y condiciones de</w:t>
      </w:r>
      <w:r w:rsidR="00CF7AC9">
        <w:rPr>
          <w:rFonts w:ascii="Tahoma" w:hAnsi="Tahoma" w:cs="Tahoma"/>
          <w:sz w:val="22"/>
          <w:szCs w:val="22"/>
        </w:rPr>
        <w:t>l</w:t>
      </w:r>
      <w:r w:rsidR="00CF7AC9" w:rsidRPr="00CF7AC9">
        <w:rPr>
          <w:rFonts w:ascii="Tahoma" w:hAnsi="Tahoma" w:cs="Tahoma"/>
          <w:sz w:val="22"/>
          <w:szCs w:val="22"/>
        </w:rPr>
        <w:t xml:space="preserve"> contrato</w:t>
      </w:r>
      <w:r w:rsidR="00CF7AC9">
        <w:rPr>
          <w:rFonts w:ascii="Tahoma" w:hAnsi="Tahoma" w:cs="Tahoma"/>
          <w:sz w:val="22"/>
          <w:szCs w:val="22"/>
        </w:rPr>
        <w:t xml:space="preserve">, </w:t>
      </w:r>
      <w:r w:rsidR="00CF7AC9" w:rsidRPr="00CF7AC9">
        <w:rPr>
          <w:rFonts w:ascii="Tahoma" w:hAnsi="Tahoma" w:cs="Tahoma"/>
          <w:sz w:val="22"/>
          <w:szCs w:val="22"/>
        </w:rPr>
        <w:t xml:space="preserve">de acuerdo a las normas contenidas en el Capítulo II de este Compendio. </w:t>
      </w:r>
      <w:r w:rsidR="000C7F62">
        <w:rPr>
          <w:rFonts w:ascii="Tahoma" w:hAnsi="Tahoma" w:cs="Tahoma"/>
          <w:sz w:val="22"/>
          <w:szCs w:val="22"/>
        </w:rPr>
        <w:t>Lo anterior, s</w:t>
      </w:r>
      <w:r w:rsidR="00CF7AC9" w:rsidRPr="00CF7AC9">
        <w:rPr>
          <w:rFonts w:ascii="Tahoma" w:hAnsi="Tahoma" w:cs="Tahoma"/>
          <w:sz w:val="22"/>
          <w:szCs w:val="22"/>
        </w:rPr>
        <w:t>in código.</w:t>
      </w:r>
    </w:p>
    <w:p w14:paraId="46AB872C" w14:textId="77777777" w:rsidR="00CB065C" w:rsidRPr="00CB065C" w:rsidRDefault="00CB065C" w:rsidP="00CB065C">
      <w:pPr>
        <w:jc w:val="both"/>
        <w:rPr>
          <w:rFonts w:ascii="Tahoma" w:hAnsi="Tahoma" w:cs="Tahoma"/>
          <w:sz w:val="22"/>
          <w:szCs w:val="22"/>
        </w:rPr>
      </w:pPr>
    </w:p>
    <w:p w14:paraId="3D6D7B40" w14:textId="7146A8F6" w:rsidR="009D3A4C" w:rsidRPr="00CB065C" w:rsidRDefault="009D3A4C" w:rsidP="00CB065C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 xml:space="preserve">Indique el monto acreditado mediante certificado, emitido al importador por la respectiva compañía </w:t>
      </w:r>
      <w:r w:rsidR="000C7F62">
        <w:rPr>
          <w:rFonts w:ascii="Tahoma" w:hAnsi="Tahoma" w:cs="Tahoma"/>
          <w:sz w:val="22"/>
          <w:szCs w:val="22"/>
        </w:rPr>
        <w:t xml:space="preserve">de seguro </w:t>
      </w:r>
      <w:r w:rsidRPr="00CB065C">
        <w:rPr>
          <w:rFonts w:ascii="Tahoma" w:hAnsi="Tahoma" w:cs="Tahoma"/>
          <w:sz w:val="22"/>
          <w:szCs w:val="22"/>
        </w:rPr>
        <w:t xml:space="preserve">que preste dicho servicio, </w:t>
      </w:r>
      <w:r w:rsidR="004D4D5A" w:rsidRPr="00CB065C">
        <w:rPr>
          <w:rFonts w:ascii="Tahoma" w:hAnsi="Tahoma" w:cs="Tahoma"/>
          <w:sz w:val="22"/>
          <w:szCs w:val="22"/>
        </w:rPr>
        <w:t>t</w:t>
      </w:r>
      <w:r w:rsidR="003A3D4E" w:rsidRPr="00CB065C">
        <w:rPr>
          <w:rFonts w:ascii="Tahoma" w:hAnsi="Tahoma" w:cs="Tahoma"/>
          <w:sz w:val="22"/>
          <w:szCs w:val="22"/>
        </w:rPr>
        <w:t xml:space="preserve">ratándose </w:t>
      </w:r>
      <w:r w:rsidR="004D4D5A" w:rsidRPr="00CB065C">
        <w:rPr>
          <w:rFonts w:ascii="Tahoma" w:hAnsi="Tahoma" w:cs="Tahoma"/>
          <w:sz w:val="22"/>
          <w:szCs w:val="22"/>
        </w:rPr>
        <w:t xml:space="preserve">de </w:t>
      </w:r>
      <w:r w:rsidR="003A3D4E" w:rsidRPr="00CB065C">
        <w:rPr>
          <w:rFonts w:ascii="Tahoma" w:hAnsi="Tahoma" w:cs="Tahoma"/>
          <w:sz w:val="22"/>
          <w:szCs w:val="22"/>
        </w:rPr>
        <w:t xml:space="preserve">tarifas </w:t>
      </w:r>
      <w:r w:rsidR="000C7F62">
        <w:rPr>
          <w:rFonts w:ascii="Tahoma" w:hAnsi="Tahoma" w:cs="Tahoma"/>
          <w:sz w:val="22"/>
          <w:szCs w:val="22"/>
        </w:rPr>
        <w:t>o</w:t>
      </w:r>
      <w:r w:rsidR="003A3D4E" w:rsidRPr="00CB065C">
        <w:rPr>
          <w:rFonts w:ascii="Tahoma" w:hAnsi="Tahoma" w:cs="Tahoma"/>
          <w:sz w:val="22"/>
          <w:szCs w:val="22"/>
        </w:rPr>
        <w:t xml:space="preserve"> primas habitualmente aplicables</w:t>
      </w:r>
      <w:r w:rsidRPr="00CB065C">
        <w:rPr>
          <w:rFonts w:ascii="Tahoma" w:hAnsi="Tahoma" w:cs="Tahoma"/>
          <w:sz w:val="22"/>
          <w:szCs w:val="22"/>
        </w:rPr>
        <w:t>,</w:t>
      </w:r>
      <w:r w:rsidR="003A3D4E" w:rsidRPr="00CB065C">
        <w:rPr>
          <w:rFonts w:ascii="Tahoma" w:hAnsi="Tahoma" w:cs="Tahoma"/>
          <w:sz w:val="22"/>
          <w:szCs w:val="22"/>
        </w:rPr>
        <w:t xml:space="preserve"> </w:t>
      </w:r>
      <w:r w:rsidR="004D4D5A" w:rsidRPr="00CB065C">
        <w:rPr>
          <w:rFonts w:ascii="Tahoma" w:hAnsi="Tahoma" w:cs="Tahoma"/>
          <w:sz w:val="22"/>
          <w:szCs w:val="22"/>
        </w:rPr>
        <w:t>de acuerdo a las normas contenidas en el Capítulo II de este Compendio</w:t>
      </w:r>
      <w:r w:rsidRPr="00CB065C">
        <w:rPr>
          <w:rFonts w:ascii="Tahoma" w:hAnsi="Tahoma" w:cs="Tahoma"/>
          <w:sz w:val="22"/>
          <w:szCs w:val="22"/>
        </w:rPr>
        <w:t>.</w:t>
      </w:r>
      <w:r w:rsidR="00092296" w:rsidRPr="00CB065C">
        <w:rPr>
          <w:rFonts w:ascii="Tahoma" w:hAnsi="Tahoma" w:cs="Tahoma"/>
          <w:sz w:val="22"/>
          <w:szCs w:val="22"/>
        </w:rPr>
        <w:t xml:space="preserve"> </w:t>
      </w:r>
      <w:r w:rsidR="000C7F62">
        <w:rPr>
          <w:rFonts w:ascii="Tahoma" w:hAnsi="Tahoma" w:cs="Tahoma"/>
          <w:sz w:val="22"/>
          <w:szCs w:val="22"/>
        </w:rPr>
        <w:t>Lo precedente</w:t>
      </w:r>
      <w:r w:rsidR="000C7F62">
        <w:t xml:space="preserve"> </w:t>
      </w:r>
      <w:r w:rsidR="000C7F62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0C7F62">
        <w:rPr>
          <w:rFonts w:ascii="Tahoma" w:hAnsi="Tahoma" w:cs="Tahoma"/>
          <w:sz w:val="22"/>
          <w:szCs w:val="22"/>
        </w:rPr>
        <w:t>con e</w:t>
      </w:r>
      <w:r w:rsidR="00327C0E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327C0E">
        <w:rPr>
          <w:rFonts w:ascii="Tahoma" w:hAnsi="Tahoma" w:cs="Tahoma"/>
          <w:sz w:val="22"/>
          <w:szCs w:val="22"/>
        </w:rPr>
        <w:t xml:space="preserve"> "6</w:t>
      </w:r>
      <w:r w:rsidR="00092296" w:rsidRPr="00CB065C">
        <w:rPr>
          <w:rFonts w:ascii="Tahoma" w:hAnsi="Tahoma" w:cs="Tahoma"/>
          <w:sz w:val="22"/>
          <w:szCs w:val="22"/>
        </w:rPr>
        <w:t>" en el recuadro contiguo anterior.</w:t>
      </w:r>
    </w:p>
    <w:p w14:paraId="2C1E1F0B" w14:textId="77777777" w:rsidR="009D3A4C" w:rsidRPr="00CB065C" w:rsidRDefault="009D3A4C" w:rsidP="00CB065C">
      <w:pPr>
        <w:jc w:val="both"/>
        <w:rPr>
          <w:rFonts w:ascii="Tahoma" w:hAnsi="Tahoma" w:cs="Tahoma"/>
          <w:sz w:val="22"/>
          <w:szCs w:val="22"/>
        </w:rPr>
      </w:pPr>
    </w:p>
    <w:p w14:paraId="1A99A5D7" w14:textId="4EF10E7C" w:rsidR="00363E0B" w:rsidRPr="00327C0E" w:rsidRDefault="009D3A4C" w:rsidP="0025407C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27C0E">
        <w:rPr>
          <w:rFonts w:ascii="Tahoma" w:hAnsi="Tahoma" w:cs="Tahoma"/>
          <w:sz w:val="22"/>
          <w:szCs w:val="22"/>
        </w:rPr>
        <w:t xml:space="preserve">Indique el </w:t>
      </w:r>
      <w:r w:rsidR="00327C0E" w:rsidRPr="00327C0E">
        <w:rPr>
          <w:rFonts w:ascii="Tahoma" w:hAnsi="Tahoma" w:cs="Tahoma"/>
          <w:sz w:val="22"/>
          <w:szCs w:val="22"/>
        </w:rPr>
        <w:t>monto resultante de aplicar un 2</w:t>
      </w:r>
      <w:r w:rsidRPr="00327C0E">
        <w:rPr>
          <w:rFonts w:ascii="Tahoma" w:hAnsi="Tahoma" w:cs="Tahoma"/>
          <w:sz w:val="22"/>
          <w:szCs w:val="22"/>
        </w:rPr>
        <w:t>% sobr</w:t>
      </w:r>
      <w:r w:rsidR="00C27AAE" w:rsidRPr="00327C0E">
        <w:rPr>
          <w:rFonts w:ascii="Tahoma" w:hAnsi="Tahoma" w:cs="Tahoma"/>
          <w:sz w:val="22"/>
          <w:szCs w:val="22"/>
        </w:rPr>
        <w:t>e el valor FOB de la mercancía</w:t>
      </w:r>
      <w:r w:rsidR="00363E0B" w:rsidRPr="00327C0E">
        <w:rPr>
          <w:rFonts w:ascii="Tahoma" w:hAnsi="Tahoma" w:cs="Tahoma"/>
          <w:sz w:val="22"/>
          <w:szCs w:val="22"/>
        </w:rPr>
        <w:t xml:space="preserve">, </w:t>
      </w:r>
      <w:r w:rsidR="00327C0E" w:rsidRPr="00327C0E">
        <w:rPr>
          <w:rFonts w:ascii="Tahoma" w:hAnsi="Tahoma" w:cs="Tahoma"/>
          <w:sz w:val="22"/>
          <w:szCs w:val="22"/>
        </w:rPr>
        <w:t>ante la imposibilidad de acreditar montos efectivos o habituales, en cualquier vía de transporte</w:t>
      </w:r>
      <w:r w:rsidR="00363E0B" w:rsidRPr="00327C0E">
        <w:rPr>
          <w:rFonts w:ascii="Tahoma" w:hAnsi="Tahoma" w:cs="Tahoma"/>
          <w:sz w:val="22"/>
          <w:szCs w:val="22"/>
        </w:rPr>
        <w:t>, de acuerdo a las normas contenidas en el Capítulo II de este Compendio.</w:t>
      </w:r>
      <w:r w:rsidR="00092296" w:rsidRPr="00327C0E">
        <w:rPr>
          <w:rFonts w:ascii="Tahoma" w:hAnsi="Tahoma" w:cs="Tahoma"/>
          <w:sz w:val="22"/>
          <w:szCs w:val="22"/>
        </w:rPr>
        <w:t xml:space="preserve"> </w:t>
      </w:r>
      <w:r w:rsidR="000C7F62" w:rsidRPr="007558E7">
        <w:rPr>
          <w:rFonts w:ascii="Tahoma" w:hAnsi="Tahoma" w:cs="Tahoma"/>
          <w:sz w:val="22"/>
          <w:szCs w:val="22"/>
        </w:rPr>
        <w:t>Lo anterior</w:t>
      </w:r>
      <w:r w:rsidR="000C7F62">
        <w:t xml:space="preserve"> </w:t>
      </w:r>
      <w:r w:rsidR="000C7F62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0C7F62">
        <w:rPr>
          <w:rFonts w:ascii="Tahoma" w:hAnsi="Tahoma" w:cs="Tahoma"/>
          <w:sz w:val="22"/>
          <w:szCs w:val="22"/>
        </w:rPr>
        <w:t>con e</w:t>
      </w:r>
      <w:r w:rsidR="00327C0E"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 w:rsidR="00327C0E">
        <w:rPr>
          <w:rFonts w:ascii="Tahoma" w:hAnsi="Tahoma" w:cs="Tahoma"/>
          <w:sz w:val="22"/>
          <w:szCs w:val="22"/>
        </w:rPr>
        <w:t xml:space="preserve"> "2</w:t>
      </w:r>
      <w:r w:rsidR="00092296" w:rsidRPr="00327C0E">
        <w:rPr>
          <w:rFonts w:ascii="Tahoma" w:hAnsi="Tahoma" w:cs="Tahoma"/>
          <w:sz w:val="22"/>
          <w:szCs w:val="22"/>
        </w:rPr>
        <w:t>" en el recuadro contiguo anterior.</w:t>
      </w:r>
    </w:p>
    <w:p w14:paraId="1D69FB50" w14:textId="77777777" w:rsidR="0022309E" w:rsidRPr="00CB065C" w:rsidRDefault="0022309E" w:rsidP="00CB065C">
      <w:pPr>
        <w:jc w:val="both"/>
        <w:rPr>
          <w:rFonts w:ascii="Tahoma" w:hAnsi="Tahoma" w:cs="Tahoma"/>
          <w:sz w:val="22"/>
          <w:szCs w:val="22"/>
        </w:rPr>
      </w:pPr>
    </w:p>
    <w:p w14:paraId="05DAE59C" w14:textId="365F6782" w:rsidR="00092296" w:rsidRDefault="00327C0E" w:rsidP="00327C0E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27C0E">
        <w:rPr>
          <w:rFonts w:ascii="Tahoma" w:hAnsi="Tahoma" w:cs="Tahoma"/>
          <w:sz w:val="22"/>
          <w:szCs w:val="22"/>
        </w:rPr>
        <w:t xml:space="preserve">Tratándose de importación de mercancías sin contrato de seguro, acogidas a los </w:t>
      </w:r>
      <w:r w:rsidR="00E24C59">
        <w:rPr>
          <w:rFonts w:ascii="Tahoma" w:hAnsi="Tahoma" w:cs="Tahoma"/>
          <w:sz w:val="22"/>
          <w:szCs w:val="22"/>
        </w:rPr>
        <w:t>regímenes de importación Tratado</w:t>
      </w:r>
      <w:r w:rsidRPr="00327C0E">
        <w:rPr>
          <w:rFonts w:ascii="Tahoma" w:hAnsi="Tahoma" w:cs="Tahoma"/>
          <w:sz w:val="22"/>
          <w:szCs w:val="22"/>
        </w:rPr>
        <w:t xml:space="preserve"> Chile - Canadá; </w:t>
      </w:r>
      <w:r w:rsidR="00E24C59">
        <w:rPr>
          <w:rFonts w:ascii="Tahoma" w:hAnsi="Tahoma" w:cs="Tahoma"/>
          <w:sz w:val="22"/>
          <w:szCs w:val="22"/>
        </w:rPr>
        <w:t xml:space="preserve">Acuerdo </w:t>
      </w:r>
      <w:r w:rsidRPr="00327C0E">
        <w:rPr>
          <w:rFonts w:ascii="Tahoma" w:hAnsi="Tahoma" w:cs="Tahoma"/>
          <w:sz w:val="22"/>
          <w:szCs w:val="22"/>
        </w:rPr>
        <w:t xml:space="preserve">MERCOSUR y otros en los que se apliquen las normas de valoración del GATT, señale el monto del seguro normalmente aplicable </w:t>
      </w:r>
      <w:r w:rsidR="00993CE6">
        <w:rPr>
          <w:rFonts w:ascii="Tahoma" w:hAnsi="Tahoma" w:cs="Tahoma"/>
          <w:sz w:val="22"/>
          <w:szCs w:val="22"/>
        </w:rPr>
        <w:t xml:space="preserve">para mercancías similares, y </w:t>
      </w:r>
      <w:r w:rsidRPr="00327C0E">
        <w:rPr>
          <w:rFonts w:ascii="Tahoma" w:hAnsi="Tahoma" w:cs="Tahoma"/>
          <w:sz w:val="22"/>
          <w:szCs w:val="22"/>
        </w:rPr>
        <w:t>para el mismo medio de transporte que se utilizó en la</w:t>
      </w:r>
      <w:r w:rsidR="00AE0871">
        <w:rPr>
          <w:rFonts w:ascii="Tahoma" w:hAnsi="Tahoma" w:cs="Tahoma"/>
          <w:sz w:val="22"/>
          <w:szCs w:val="22"/>
        </w:rPr>
        <w:t xml:space="preserve"> actual</w:t>
      </w:r>
      <w:r w:rsidRPr="00327C0E">
        <w:rPr>
          <w:rFonts w:ascii="Tahoma" w:hAnsi="Tahoma" w:cs="Tahoma"/>
          <w:sz w:val="22"/>
          <w:szCs w:val="22"/>
        </w:rPr>
        <w:t xml:space="preserve"> operación. En estos casos, se deberá consignar el </w:t>
      </w:r>
      <w:r w:rsidR="003C0056">
        <w:rPr>
          <w:rFonts w:ascii="Tahoma" w:hAnsi="Tahoma" w:cs="Tahoma"/>
          <w:sz w:val="22"/>
          <w:szCs w:val="22"/>
        </w:rPr>
        <w:t>código</w:t>
      </w:r>
      <w:r w:rsidRPr="00327C0E">
        <w:rPr>
          <w:rFonts w:ascii="Tahoma" w:hAnsi="Tahoma" w:cs="Tahoma"/>
          <w:sz w:val="22"/>
          <w:szCs w:val="22"/>
        </w:rPr>
        <w:t xml:space="preserve"> "7" en el recuadro contiguo anterior.</w:t>
      </w:r>
    </w:p>
    <w:p w14:paraId="04C3F89A" w14:textId="77777777" w:rsidR="003C16BE" w:rsidRDefault="003C16BE" w:rsidP="00C2501A">
      <w:pPr>
        <w:jc w:val="both"/>
        <w:rPr>
          <w:rFonts w:ascii="Tahoma" w:hAnsi="Tahoma" w:cs="Tahoma"/>
          <w:sz w:val="22"/>
          <w:szCs w:val="22"/>
        </w:rPr>
      </w:pPr>
    </w:p>
    <w:p w14:paraId="6D1B1127" w14:textId="77777777" w:rsidR="00FB6ACB" w:rsidRPr="00CB065C" w:rsidRDefault="00FB6ACB" w:rsidP="00C2501A">
      <w:pPr>
        <w:jc w:val="both"/>
        <w:rPr>
          <w:rFonts w:ascii="Tahoma" w:hAnsi="Tahoma" w:cs="Tahoma"/>
          <w:sz w:val="22"/>
          <w:szCs w:val="22"/>
        </w:rPr>
      </w:pPr>
    </w:p>
    <w:p w14:paraId="083CAE24" w14:textId="55EA74E8" w:rsidR="00C2501A" w:rsidRPr="00F718DD" w:rsidRDefault="00C2501A" w:rsidP="00F718DD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718DD">
        <w:rPr>
          <w:rFonts w:ascii="Tahoma" w:hAnsi="Tahoma" w:cs="Tahoma"/>
          <w:b/>
          <w:sz w:val="22"/>
          <w:szCs w:val="22"/>
        </w:rPr>
        <w:t>SUSTITÚYESE</w:t>
      </w:r>
      <w:r w:rsidRPr="00F718DD">
        <w:rPr>
          <w:rFonts w:ascii="Tahoma" w:hAnsi="Tahoma" w:cs="Tahoma"/>
          <w:sz w:val="22"/>
          <w:szCs w:val="22"/>
        </w:rPr>
        <w:t>, el numeral 14.3 del Anexo 18 del Compendio de Normas Aduaneras, en sus apartados IV, V, VI y VIII por el siguiente:</w:t>
      </w:r>
    </w:p>
    <w:p w14:paraId="1AF14065" w14:textId="77777777" w:rsidR="00C2501A" w:rsidRDefault="00C2501A" w:rsidP="00C2501A">
      <w:pPr>
        <w:jc w:val="both"/>
        <w:rPr>
          <w:rFonts w:ascii="Tahoma" w:hAnsi="Tahoma" w:cs="Tahoma"/>
          <w:sz w:val="22"/>
          <w:szCs w:val="22"/>
        </w:rPr>
      </w:pPr>
    </w:p>
    <w:p w14:paraId="344027B4" w14:textId="0CC17651" w:rsidR="00C2501A" w:rsidRDefault="00C2501A" w:rsidP="00C2501A">
      <w:pPr>
        <w:jc w:val="both"/>
        <w:rPr>
          <w:rFonts w:ascii="Tahoma" w:hAnsi="Tahoma" w:cs="Tahoma"/>
          <w:sz w:val="22"/>
          <w:szCs w:val="22"/>
        </w:rPr>
      </w:pPr>
      <w:r w:rsidRPr="005F3C0D">
        <w:rPr>
          <w:rFonts w:ascii="Tahoma" w:hAnsi="Tahoma" w:cs="Tahoma"/>
          <w:sz w:val="22"/>
          <w:szCs w:val="22"/>
        </w:rPr>
        <w:t>14.3 Seguro:</w:t>
      </w:r>
    </w:p>
    <w:p w14:paraId="1C3FE308" w14:textId="77777777" w:rsidR="00C2501A" w:rsidRDefault="00C2501A" w:rsidP="00C2501A">
      <w:pPr>
        <w:jc w:val="both"/>
        <w:rPr>
          <w:rFonts w:ascii="Tahoma" w:hAnsi="Tahoma" w:cs="Tahoma"/>
          <w:sz w:val="22"/>
          <w:szCs w:val="22"/>
        </w:rPr>
      </w:pPr>
    </w:p>
    <w:p w14:paraId="59F57E0D" w14:textId="51F8F1D7" w:rsidR="00C2501A" w:rsidRDefault="00C2501A" w:rsidP="00C2501A">
      <w:p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>Consigne el monto y código en el recuadro contiguo anterior</w:t>
      </w:r>
      <w:r w:rsidR="00502EC5">
        <w:rPr>
          <w:rFonts w:ascii="Tahoma" w:hAnsi="Tahoma" w:cs="Tahoma"/>
          <w:sz w:val="22"/>
          <w:szCs w:val="22"/>
        </w:rPr>
        <w:t>,</w:t>
      </w:r>
      <w:r w:rsidRPr="00CB065C">
        <w:rPr>
          <w:rFonts w:ascii="Tahoma" w:hAnsi="Tahoma" w:cs="Tahoma"/>
          <w:sz w:val="22"/>
          <w:szCs w:val="22"/>
        </w:rPr>
        <w:t xml:space="preserve"> según corresponda:</w:t>
      </w:r>
    </w:p>
    <w:p w14:paraId="39F191E3" w14:textId="77777777" w:rsidR="00C2501A" w:rsidRDefault="00C2501A" w:rsidP="00C2501A">
      <w:pPr>
        <w:jc w:val="both"/>
        <w:rPr>
          <w:rFonts w:ascii="Tahoma" w:hAnsi="Tahoma" w:cs="Tahoma"/>
          <w:sz w:val="22"/>
          <w:szCs w:val="22"/>
        </w:rPr>
      </w:pPr>
    </w:p>
    <w:p w14:paraId="03769127" w14:textId="37C96963" w:rsidR="00C2501A" w:rsidRDefault="004A6C41" w:rsidP="004A6C41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4A6C41">
        <w:rPr>
          <w:rFonts w:ascii="Tahoma" w:hAnsi="Tahoma" w:cs="Tahoma"/>
          <w:sz w:val="22"/>
          <w:szCs w:val="22"/>
        </w:rPr>
        <w:t xml:space="preserve">Indique el monto efectivamente pagado </w:t>
      </w:r>
      <w:r w:rsidR="00FB6ACB">
        <w:rPr>
          <w:rFonts w:ascii="Tahoma" w:hAnsi="Tahoma" w:cs="Tahoma"/>
          <w:sz w:val="22"/>
          <w:szCs w:val="22"/>
        </w:rPr>
        <w:t>como costo del</w:t>
      </w:r>
      <w:r w:rsidRPr="004A6C41">
        <w:rPr>
          <w:rFonts w:ascii="Tahoma" w:hAnsi="Tahoma" w:cs="Tahoma"/>
          <w:sz w:val="22"/>
          <w:szCs w:val="22"/>
        </w:rPr>
        <w:t xml:space="preserve"> seguro, conforme a los términos y condiciones del contrato, de acuerdo a las normas contenidas en el Capítulo II de este Compendio. Lo anterior, sin código.</w:t>
      </w:r>
    </w:p>
    <w:p w14:paraId="76AB36EB" w14:textId="77777777" w:rsidR="00C2501A" w:rsidRPr="00CB065C" w:rsidRDefault="00C2501A" w:rsidP="00C2501A">
      <w:pPr>
        <w:jc w:val="both"/>
        <w:rPr>
          <w:rFonts w:ascii="Tahoma" w:hAnsi="Tahoma" w:cs="Tahoma"/>
          <w:sz w:val="22"/>
          <w:szCs w:val="22"/>
        </w:rPr>
      </w:pPr>
    </w:p>
    <w:p w14:paraId="2166C697" w14:textId="76BC2933" w:rsidR="00C2501A" w:rsidRPr="00CB065C" w:rsidRDefault="00C2501A" w:rsidP="00C2501A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 xml:space="preserve">Indique el monto acreditado mediante certificado, emitido al importador por la respectiva compañía </w:t>
      </w:r>
      <w:r w:rsidR="00502EC5">
        <w:rPr>
          <w:rFonts w:ascii="Tahoma" w:hAnsi="Tahoma" w:cs="Tahoma"/>
          <w:sz w:val="22"/>
          <w:szCs w:val="22"/>
        </w:rPr>
        <w:t xml:space="preserve">de seguro </w:t>
      </w:r>
      <w:r w:rsidRPr="00CB065C">
        <w:rPr>
          <w:rFonts w:ascii="Tahoma" w:hAnsi="Tahoma" w:cs="Tahoma"/>
          <w:sz w:val="22"/>
          <w:szCs w:val="22"/>
        </w:rPr>
        <w:t xml:space="preserve">que preste dicho servicio, tratándose de tarifas </w:t>
      </w:r>
      <w:r w:rsidR="00502EC5">
        <w:rPr>
          <w:rFonts w:ascii="Tahoma" w:hAnsi="Tahoma" w:cs="Tahoma"/>
          <w:sz w:val="22"/>
          <w:szCs w:val="22"/>
        </w:rPr>
        <w:t>o</w:t>
      </w:r>
      <w:r w:rsidR="00502EC5" w:rsidRPr="00CB065C">
        <w:rPr>
          <w:rFonts w:ascii="Tahoma" w:hAnsi="Tahoma" w:cs="Tahoma"/>
          <w:sz w:val="22"/>
          <w:szCs w:val="22"/>
        </w:rPr>
        <w:t xml:space="preserve"> </w:t>
      </w:r>
      <w:r w:rsidRPr="00CB065C">
        <w:rPr>
          <w:rFonts w:ascii="Tahoma" w:hAnsi="Tahoma" w:cs="Tahoma"/>
          <w:sz w:val="22"/>
          <w:szCs w:val="22"/>
        </w:rPr>
        <w:t xml:space="preserve">primas habitualmente aplicables, de acuerdo a las normas contenidas en el Capítulo II de este Compendio. </w:t>
      </w:r>
      <w:r w:rsidR="00F76BD7">
        <w:rPr>
          <w:rFonts w:ascii="Tahoma" w:hAnsi="Tahoma" w:cs="Tahoma"/>
          <w:sz w:val="22"/>
          <w:szCs w:val="22"/>
        </w:rPr>
        <w:t xml:space="preserve">Lo precedente </w:t>
      </w:r>
      <w:r w:rsidR="00F76BD7" w:rsidRPr="00CB065C">
        <w:rPr>
          <w:rFonts w:ascii="Tahoma" w:hAnsi="Tahoma" w:cs="Tahoma"/>
          <w:sz w:val="22"/>
          <w:szCs w:val="22"/>
        </w:rPr>
        <w:t>deberá consignarse</w:t>
      </w:r>
      <w:r w:rsidR="00F76BD7">
        <w:rPr>
          <w:rFonts w:ascii="Tahoma" w:hAnsi="Tahoma" w:cs="Tahoma"/>
          <w:sz w:val="22"/>
          <w:szCs w:val="22"/>
        </w:rPr>
        <w:t xml:space="preserve"> con e</w:t>
      </w:r>
      <w:r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>
        <w:rPr>
          <w:rFonts w:ascii="Tahoma" w:hAnsi="Tahoma" w:cs="Tahoma"/>
          <w:sz w:val="22"/>
          <w:szCs w:val="22"/>
        </w:rPr>
        <w:t xml:space="preserve"> "6</w:t>
      </w:r>
      <w:r w:rsidRPr="00CB065C">
        <w:rPr>
          <w:rFonts w:ascii="Tahoma" w:hAnsi="Tahoma" w:cs="Tahoma"/>
          <w:sz w:val="22"/>
          <w:szCs w:val="22"/>
        </w:rPr>
        <w:t>" en el recuadro contiguo anterior.</w:t>
      </w:r>
    </w:p>
    <w:p w14:paraId="7EDD5403" w14:textId="77777777" w:rsidR="00C2501A" w:rsidRPr="00CB065C" w:rsidRDefault="00C2501A" w:rsidP="00C2501A">
      <w:pPr>
        <w:jc w:val="both"/>
        <w:rPr>
          <w:rFonts w:ascii="Tahoma" w:hAnsi="Tahoma" w:cs="Tahoma"/>
          <w:sz w:val="22"/>
          <w:szCs w:val="22"/>
        </w:rPr>
      </w:pPr>
    </w:p>
    <w:p w14:paraId="0BECEA09" w14:textId="62E55026" w:rsidR="00C2501A" w:rsidRDefault="00C2501A" w:rsidP="00C2501A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27C0E">
        <w:rPr>
          <w:rFonts w:ascii="Tahoma" w:hAnsi="Tahoma" w:cs="Tahoma"/>
          <w:sz w:val="22"/>
          <w:szCs w:val="22"/>
        </w:rPr>
        <w:t xml:space="preserve">Indique el monto resultante de aplicar un 2% sobre el valor FOB de la mercancía, ante la imposibilidad de acreditar montos efectivos o habituales, en cualquier vía de transporte, de acuerdo a las normas contenidas en el Capítulo II de este Compendio. </w:t>
      </w:r>
      <w:r w:rsidR="00F76BD7" w:rsidRPr="007558E7">
        <w:rPr>
          <w:rFonts w:ascii="Tahoma" w:hAnsi="Tahoma" w:cs="Tahoma"/>
          <w:sz w:val="22"/>
          <w:szCs w:val="22"/>
        </w:rPr>
        <w:t>Lo anterior</w:t>
      </w:r>
      <w:r w:rsidR="00F76BD7">
        <w:t xml:space="preserve"> </w:t>
      </w:r>
      <w:r w:rsidR="00F76BD7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F76BD7">
        <w:rPr>
          <w:rFonts w:ascii="Tahoma" w:hAnsi="Tahoma" w:cs="Tahoma"/>
          <w:sz w:val="22"/>
          <w:szCs w:val="22"/>
        </w:rPr>
        <w:t>con e</w:t>
      </w:r>
      <w:r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>
        <w:rPr>
          <w:rFonts w:ascii="Tahoma" w:hAnsi="Tahoma" w:cs="Tahoma"/>
          <w:sz w:val="22"/>
          <w:szCs w:val="22"/>
        </w:rPr>
        <w:t xml:space="preserve"> "2</w:t>
      </w:r>
      <w:r w:rsidRPr="00327C0E">
        <w:rPr>
          <w:rFonts w:ascii="Tahoma" w:hAnsi="Tahoma" w:cs="Tahoma"/>
          <w:sz w:val="22"/>
          <w:szCs w:val="22"/>
        </w:rPr>
        <w:t>" en el recuadro contiguo anterior.</w:t>
      </w:r>
    </w:p>
    <w:p w14:paraId="4F06E81F" w14:textId="77777777" w:rsidR="00591441" w:rsidRDefault="00591441" w:rsidP="00503233">
      <w:pPr>
        <w:pStyle w:val="Prrafodelista"/>
        <w:rPr>
          <w:rFonts w:ascii="Tahoma" w:hAnsi="Tahoma" w:cs="Tahoma"/>
          <w:sz w:val="22"/>
          <w:szCs w:val="22"/>
        </w:rPr>
      </w:pPr>
    </w:p>
    <w:p w14:paraId="1ACD146E" w14:textId="77777777" w:rsidR="000748D6" w:rsidRDefault="000748D6" w:rsidP="000748D6">
      <w:pPr>
        <w:pStyle w:val="Prrafodelista"/>
        <w:rPr>
          <w:rFonts w:ascii="Tahoma" w:hAnsi="Tahoma" w:cs="Tahoma"/>
          <w:sz w:val="22"/>
          <w:szCs w:val="22"/>
        </w:rPr>
      </w:pPr>
    </w:p>
    <w:p w14:paraId="717A6E99" w14:textId="77777777" w:rsidR="00001E3B" w:rsidRPr="008B38FF" w:rsidRDefault="00001E3B" w:rsidP="00001E3B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SUSTITÚYESE</w:t>
      </w:r>
      <w:r w:rsidRPr="003F228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el numeral 12.9 del </w:t>
      </w:r>
      <w:r w:rsidRPr="003446A3">
        <w:rPr>
          <w:rFonts w:ascii="Tahoma" w:hAnsi="Tahoma" w:cs="Tahoma"/>
          <w:sz w:val="22"/>
          <w:szCs w:val="22"/>
        </w:rPr>
        <w:t>Anexo 18 del Compendio de Normas Aduaneras, en su apartado I</w:t>
      </w:r>
      <w:r>
        <w:rPr>
          <w:rFonts w:ascii="Tahoma" w:hAnsi="Tahoma" w:cs="Tahoma"/>
          <w:sz w:val="22"/>
          <w:szCs w:val="22"/>
        </w:rPr>
        <w:t>I-B por el siguiente:</w:t>
      </w:r>
    </w:p>
    <w:p w14:paraId="00F1CE36" w14:textId="77777777" w:rsidR="00001E3B" w:rsidRDefault="00001E3B" w:rsidP="00001E3B">
      <w:pPr>
        <w:pStyle w:val="Prrafodelista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57808D03" w14:textId="77777777" w:rsidR="00001E3B" w:rsidRPr="005F3C0D" w:rsidRDefault="00001E3B" w:rsidP="00001E3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12.9</w:t>
      </w:r>
      <w:r w:rsidRPr="005F3C0D">
        <w:rPr>
          <w:rFonts w:ascii="Tahoma" w:hAnsi="Tahoma" w:cs="Tahoma"/>
          <w:sz w:val="22"/>
          <w:szCs w:val="22"/>
        </w:rPr>
        <w:t xml:space="preserve"> Flete:</w:t>
      </w:r>
    </w:p>
    <w:p w14:paraId="79AE8A0C" w14:textId="77777777" w:rsidR="00001E3B" w:rsidRPr="005F3C0D" w:rsidRDefault="00001E3B" w:rsidP="00001E3B">
      <w:pPr>
        <w:jc w:val="both"/>
        <w:rPr>
          <w:rFonts w:ascii="Tahoma" w:hAnsi="Tahoma" w:cs="Tahoma"/>
          <w:sz w:val="22"/>
          <w:szCs w:val="22"/>
        </w:rPr>
      </w:pPr>
    </w:p>
    <w:p w14:paraId="37F2F17C" w14:textId="77777777" w:rsidR="00001E3B" w:rsidRDefault="00001E3B" w:rsidP="00001E3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Consigne el monto y código en el recuadro contiguo anterior, según corresponda:</w:t>
      </w:r>
    </w:p>
    <w:p w14:paraId="7E26F716" w14:textId="77777777" w:rsidR="00001E3B" w:rsidRDefault="00001E3B" w:rsidP="00001E3B">
      <w:pPr>
        <w:jc w:val="both"/>
        <w:rPr>
          <w:rFonts w:ascii="Tahoma" w:hAnsi="Tahoma" w:cs="Tahoma"/>
          <w:sz w:val="22"/>
          <w:szCs w:val="22"/>
        </w:rPr>
      </w:pPr>
    </w:p>
    <w:p w14:paraId="37E20D6A" w14:textId="51D81FCC" w:rsidR="00001E3B" w:rsidRPr="004A6C41" w:rsidRDefault="00001E3B" w:rsidP="00001E3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4A6C41">
        <w:rPr>
          <w:rFonts w:ascii="Tahoma" w:hAnsi="Tahoma" w:cs="Tahoma"/>
          <w:sz w:val="22"/>
          <w:szCs w:val="22"/>
        </w:rPr>
        <w:t>Indique el monto efectivamente pagado como gasto de transporte y gastos de carga, descarga y manipulación ocasionados por el transporte, desde el puerto de embarque hasta el lugar de entrada de las mercancías</w:t>
      </w:r>
      <w:r w:rsidR="00C33AE0">
        <w:rPr>
          <w:rFonts w:ascii="Tahoma" w:hAnsi="Tahoma" w:cs="Tahoma"/>
          <w:sz w:val="22"/>
          <w:szCs w:val="22"/>
        </w:rPr>
        <w:t xml:space="preserve"> al territorio nacional</w:t>
      </w:r>
      <w:r w:rsidRPr="004A6C41">
        <w:rPr>
          <w:rFonts w:ascii="Tahoma" w:hAnsi="Tahoma" w:cs="Tahoma"/>
          <w:sz w:val="22"/>
          <w:szCs w:val="22"/>
        </w:rPr>
        <w:t>, de acuerdo a las normas contenidas en el Capítulo II de este Compendio. Lo anterior, sin código.</w:t>
      </w:r>
    </w:p>
    <w:p w14:paraId="76297040" w14:textId="77777777" w:rsidR="00001E3B" w:rsidRDefault="00001E3B" w:rsidP="00001E3B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2EC431CD" w14:textId="77777777" w:rsidR="00001E3B" w:rsidRPr="00092296" w:rsidRDefault="00001E3B" w:rsidP="00001E3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Indique el monto acreditado mediante certificado, emitido al importador por la respectiva compañía</w:t>
      </w:r>
      <w:r>
        <w:rPr>
          <w:rFonts w:ascii="Tahoma" w:hAnsi="Tahoma" w:cs="Tahoma"/>
          <w:sz w:val="22"/>
          <w:szCs w:val="22"/>
        </w:rPr>
        <w:t xml:space="preserve"> de transporte</w:t>
      </w:r>
      <w:r w:rsidRPr="00092296">
        <w:rPr>
          <w:rFonts w:ascii="Tahoma" w:hAnsi="Tahoma" w:cs="Tahoma"/>
          <w:sz w:val="22"/>
          <w:szCs w:val="22"/>
        </w:rPr>
        <w:t xml:space="preserve"> que preste dicho servicio, tratándose de tarifas habitualmente aplicables, de acuerdo a las normas contenidas en el Capítulo II de este Compendio.</w:t>
      </w:r>
      <w:r w:rsidRPr="00092296">
        <w:t xml:space="preserve"> </w:t>
      </w:r>
      <w:r w:rsidRPr="007558E7">
        <w:rPr>
          <w:rFonts w:ascii="Tahoma" w:hAnsi="Tahoma" w:cs="Tahoma"/>
          <w:sz w:val="22"/>
          <w:szCs w:val="22"/>
        </w:rPr>
        <w:t>Lo precedente</w:t>
      </w:r>
      <w:r>
        <w:rPr>
          <w:rFonts w:ascii="Tahoma" w:hAnsi="Tahoma" w:cs="Tahoma"/>
          <w:sz w:val="22"/>
          <w:szCs w:val="22"/>
        </w:rPr>
        <w:t>,</w:t>
      </w:r>
      <w:r>
        <w:t xml:space="preserve"> </w:t>
      </w:r>
      <w:r w:rsidRPr="00092296">
        <w:rPr>
          <w:rFonts w:ascii="Tahoma" w:hAnsi="Tahoma" w:cs="Tahoma"/>
          <w:sz w:val="22"/>
          <w:szCs w:val="22"/>
        </w:rPr>
        <w:t>deberá consignarse</w:t>
      </w:r>
      <w:r>
        <w:rPr>
          <w:rFonts w:ascii="Tahoma" w:hAnsi="Tahoma" w:cs="Tahoma"/>
          <w:sz w:val="22"/>
          <w:szCs w:val="22"/>
        </w:rPr>
        <w:t xml:space="preserve"> con el código "1</w:t>
      </w:r>
      <w:r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37B74457" w14:textId="77777777" w:rsidR="00001E3B" w:rsidRPr="009D3A4C" w:rsidRDefault="00001E3B" w:rsidP="00001E3B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0CC5804C" w14:textId="77777777" w:rsidR="00001E3B" w:rsidRPr="00092296" w:rsidRDefault="00001E3B" w:rsidP="00001E3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Indique el monto resultante de aplicar un 5% sobre el valor FOB de la mercancía, cuando estas ingresan por vía marítima</w:t>
      </w:r>
      <w:r>
        <w:rPr>
          <w:rFonts w:ascii="Tahoma" w:hAnsi="Tahoma" w:cs="Tahoma"/>
          <w:sz w:val="22"/>
          <w:szCs w:val="22"/>
        </w:rPr>
        <w:t xml:space="preserve"> y</w:t>
      </w:r>
      <w:r w:rsidRPr="0009229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se encuentre </w:t>
      </w:r>
      <w:r w:rsidRPr="00092296">
        <w:rPr>
          <w:rFonts w:ascii="Tahoma" w:hAnsi="Tahoma" w:cs="Tahoma"/>
          <w:sz w:val="22"/>
          <w:szCs w:val="22"/>
        </w:rPr>
        <w:t xml:space="preserve">ante la imposibilidad de acreditar </w:t>
      </w:r>
      <w:r>
        <w:rPr>
          <w:rFonts w:ascii="Tahoma" w:hAnsi="Tahoma" w:cs="Tahoma"/>
          <w:sz w:val="22"/>
          <w:szCs w:val="22"/>
        </w:rPr>
        <w:t xml:space="preserve">los </w:t>
      </w:r>
      <w:r w:rsidRPr="00092296">
        <w:rPr>
          <w:rFonts w:ascii="Tahoma" w:hAnsi="Tahoma" w:cs="Tahoma"/>
          <w:sz w:val="22"/>
          <w:szCs w:val="22"/>
        </w:rPr>
        <w:t>montos efectivos o habituales, de acuerdo a las normas contenidas en el Capítulo II de este Compendio.</w:t>
      </w:r>
      <w:r w:rsidRPr="00092296">
        <w:t xml:space="preserve"> </w:t>
      </w:r>
      <w:r w:rsidRPr="007558E7">
        <w:rPr>
          <w:rFonts w:ascii="Tahoma" w:hAnsi="Tahoma" w:cs="Tahoma"/>
          <w:sz w:val="22"/>
          <w:szCs w:val="22"/>
        </w:rPr>
        <w:t>Lo anterior</w:t>
      </w:r>
      <w:r>
        <w:t xml:space="preserve"> </w:t>
      </w:r>
      <w:r w:rsidRPr="00092296">
        <w:rPr>
          <w:rFonts w:ascii="Tahoma" w:hAnsi="Tahoma" w:cs="Tahoma"/>
          <w:sz w:val="22"/>
          <w:szCs w:val="22"/>
        </w:rPr>
        <w:t xml:space="preserve">deberá consignarse </w:t>
      </w:r>
      <w:r>
        <w:rPr>
          <w:rFonts w:ascii="Tahoma" w:hAnsi="Tahoma" w:cs="Tahoma"/>
          <w:sz w:val="22"/>
          <w:szCs w:val="22"/>
        </w:rPr>
        <w:t>con e</w:t>
      </w:r>
      <w:r w:rsidRPr="00092296">
        <w:rPr>
          <w:rFonts w:ascii="Tahoma" w:hAnsi="Tahoma" w:cs="Tahoma"/>
          <w:sz w:val="22"/>
          <w:szCs w:val="22"/>
        </w:rPr>
        <w:t xml:space="preserve">l </w:t>
      </w:r>
      <w:r>
        <w:rPr>
          <w:rFonts w:ascii="Tahoma" w:hAnsi="Tahoma" w:cs="Tahoma"/>
          <w:sz w:val="22"/>
          <w:szCs w:val="22"/>
        </w:rPr>
        <w:t>código</w:t>
      </w:r>
      <w:r w:rsidRPr="00092296">
        <w:rPr>
          <w:rFonts w:ascii="Tahoma" w:hAnsi="Tahoma" w:cs="Tahoma"/>
          <w:sz w:val="22"/>
          <w:szCs w:val="22"/>
        </w:rPr>
        <w:t xml:space="preserve"> "5" en el recuadro contiguo anterior.</w:t>
      </w:r>
    </w:p>
    <w:p w14:paraId="0FD78A0D" w14:textId="77777777" w:rsidR="00001E3B" w:rsidRPr="00363E0B" w:rsidRDefault="00001E3B" w:rsidP="00001E3B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5AD7CF2A" w14:textId="77777777" w:rsidR="00001E3B" w:rsidRPr="00092296" w:rsidRDefault="00001E3B" w:rsidP="00001E3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>Indique el monto de la tabla supletoria de tarifas flete aéreo, conforme a la zona geográfica</w:t>
      </w:r>
      <w:r>
        <w:rPr>
          <w:rFonts w:ascii="Tahoma" w:hAnsi="Tahoma" w:cs="Tahoma"/>
          <w:sz w:val="22"/>
          <w:szCs w:val="22"/>
        </w:rPr>
        <w:t xml:space="preserve"> del envío,</w:t>
      </w:r>
      <w:r w:rsidRPr="00092296">
        <w:rPr>
          <w:rFonts w:ascii="Tahoma" w:hAnsi="Tahoma" w:cs="Tahoma"/>
          <w:sz w:val="22"/>
          <w:szCs w:val="22"/>
        </w:rPr>
        <w:t xml:space="preserve"> cuando </w:t>
      </w:r>
      <w:r>
        <w:rPr>
          <w:rFonts w:ascii="Tahoma" w:hAnsi="Tahoma" w:cs="Tahoma"/>
          <w:sz w:val="22"/>
          <w:szCs w:val="22"/>
        </w:rPr>
        <w:t>no se acredite el monto</w:t>
      </w:r>
      <w:r w:rsidRPr="00092296">
        <w:rPr>
          <w:rFonts w:ascii="Tahoma" w:hAnsi="Tahoma" w:cs="Tahoma"/>
          <w:sz w:val="22"/>
          <w:szCs w:val="22"/>
        </w:rPr>
        <w:t xml:space="preserve"> del transporte por dicha vía, de acuerdo a las normas contenidas en el Capítulo II de este Compendio.</w:t>
      </w:r>
      <w:r w:rsidRPr="00092296">
        <w:t xml:space="preserve"> </w:t>
      </w:r>
      <w:r w:rsidRPr="007558E7">
        <w:rPr>
          <w:rFonts w:ascii="Tahoma" w:hAnsi="Tahoma" w:cs="Tahoma"/>
          <w:sz w:val="22"/>
          <w:szCs w:val="22"/>
        </w:rPr>
        <w:t>Lo precedente</w:t>
      </w:r>
      <w:r>
        <w:rPr>
          <w:rFonts w:ascii="Tahoma" w:hAnsi="Tahoma" w:cs="Tahoma"/>
          <w:sz w:val="22"/>
          <w:szCs w:val="22"/>
        </w:rPr>
        <w:t>,</w:t>
      </w:r>
      <w:r>
        <w:t xml:space="preserve"> </w:t>
      </w:r>
      <w:r w:rsidRPr="00092296">
        <w:rPr>
          <w:rFonts w:ascii="Tahoma" w:hAnsi="Tahoma" w:cs="Tahoma"/>
          <w:sz w:val="22"/>
          <w:szCs w:val="22"/>
        </w:rPr>
        <w:t>deberá consignarse</w:t>
      </w:r>
      <w:r>
        <w:rPr>
          <w:rFonts w:ascii="Tahoma" w:hAnsi="Tahoma" w:cs="Tahoma"/>
          <w:sz w:val="22"/>
          <w:szCs w:val="22"/>
        </w:rPr>
        <w:t xml:space="preserve"> con el código "3</w:t>
      </w:r>
      <w:r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2433722D" w14:textId="77777777" w:rsidR="00001E3B" w:rsidRPr="0022309E" w:rsidRDefault="00001E3B" w:rsidP="00001E3B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64AFDBBF" w14:textId="305B0F5F" w:rsidR="00001E3B" w:rsidRDefault="00001E3B" w:rsidP="00001E3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92296">
        <w:rPr>
          <w:rFonts w:ascii="Tahoma" w:hAnsi="Tahoma" w:cs="Tahoma"/>
          <w:sz w:val="22"/>
          <w:szCs w:val="22"/>
        </w:rPr>
        <w:t xml:space="preserve">Indique el monto resultante de aplicar </w:t>
      </w:r>
      <w:r>
        <w:rPr>
          <w:rFonts w:ascii="Tahoma" w:hAnsi="Tahoma" w:cs="Tahoma"/>
          <w:sz w:val="22"/>
          <w:szCs w:val="22"/>
        </w:rPr>
        <w:t>la división o reparto</w:t>
      </w:r>
      <w:r w:rsidRPr="00092296">
        <w:rPr>
          <w:rFonts w:ascii="Tahoma" w:hAnsi="Tahoma" w:cs="Tahoma"/>
          <w:sz w:val="22"/>
          <w:szCs w:val="22"/>
        </w:rPr>
        <w:t xml:space="preserve"> del costo total entre los tramos internos y externos, cuando las mercancías ingresen por vía terrestre, y dicha distribución no exista en el respectivo </w:t>
      </w:r>
      <w:r w:rsidR="00C7392C">
        <w:rPr>
          <w:rFonts w:ascii="Tahoma" w:hAnsi="Tahoma" w:cs="Tahoma"/>
          <w:sz w:val="22"/>
          <w:szCs w:val="22"/>
        </w:rPr>
        <w:t>documento de transporte</w:t>
      </w:r>
      <w:r w:rsidRPr="00092296">
        <w:rPr>
          <w:rFonts w:ascii="Tahoma" w:hAnsi="Tahoma" w:cs="Tahoma"/>
          <w:sz w:val="22"/>
          <w:szCs w:val="22"/>
        </w:rPr>
        <w:t>, de acuerdo a las normas contenidas en el Capítulo II de este Compendio.</w:t>
      </w:r>
      <w:r w:rsidRPr="00092296">
        <w:t xml:space="preserve"> </w:t>
      </w:r>
      <w:r w:rsidRPr="007558E7">
        <w:rPr>
          <w:rFonts w:ascii="Tahoma" w:hAnsi="Tahoma" w:cs="Tahoma"/>
          <w:sz w:val="22"/>
          <w:szCs w:val="22"/>
        </w:rPr>
        <w:t>Lo anterior</w:t>
      </w:r>
      <w:r>
        <w:t xml:space="preserve"> </w:t>
      </w:r>
      <w:r w:rsidRPr="00092296">
        <w:rPr>
          <w:rFonts w:ascii="Tahoma" w:hAnsi="Tahoma" w:cs="Tahoma"/>
          <w:sz w:val="22"/>
          <w:szCs w:val="22"/>
        </w:rPr>
        <w:t xml:space="preserve">deberá consignarse </w:t>
      </w:r>
      <w:r>
        <w:rPr>
          <w:rFonts w:ascii="Tahoma" w:hAnsi="Tahoma" w:cs="Tahoma"/>
          <w:sz w:val="22"/>
          <w:szCs w:val="22"/>
        </w:rPr>
        <w:t>con el código "4</w:t>
      </w:r>
      <w:r w:rsidRPr="00092296">
        <w:rPr>
          <w:rFonts w:ascii="Tahoma" w:hAnsi="Tahoma" w:cs="Tahoma"/>
          <w:sz w:val="22"/>
          <w:szCs w:val="22"/>
        </w:rPr>
        <w:t>" en el recuadro contiguo anterior.</w:t>
      </w:r>
    </w:p>
    <w:p w14:paraId="33F98707" w14:textId="77777777" w:rsidR="00001E3B" w:rsidRDefault="00001E3B" w:rsidP="000748D6">
      <w:pPr>
        <w:pStyle w:val="Prrafodelista"/>
        <w:rPr>
          <w:rFonts w:ascii="Tahoma" w:hAnsi="Tahoma" w:cs="Tahoma"/>
          <w:sz w:val="22"/>
          <w:szCs w:val="22"/>
        </w:rPr>
      </w:pPr>
    </w:p>
    <w:p w14:paraId="40270B2B" w14:textId="77777777" w:rsidR="00001E3B" w:rsidRDefault="00001E3B" w:rsidP="000748D6">
      <w:pPr>
        <w:pStyle w:val="Prrafodelista"/>
        <w:rPr>
          <w:rFonts w:ascii="Tahoma" w:hAnsi="Tahoma" w:cs="Tahoma"/>
          <w:sz w:val="22"/>
          <w:szCs w:val="22"/>
        </w:rPr>
      </w:pPr>
    </w:p>
    <w:p w14:paraId="65296AE6" w14:textId="31933567" w:rsidR="000748D6" w:rsidRPr="00F718DD" w:rsidRDefault="000748D6" w:rsidP="000748D6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718DD">
        <w:rPr>
          <w:rFonts w:ascii="Tahoma" w:hAnsi="Tahoma" w:cs="Tahoma"/>
          <w:b/>
          <w:sz w:val="22"/>
          <w:szCs w:val="22"/>
        </w:rPr>
        <w:t>SUSTITÚYESE</w:t>
      </w:r>
      <w:r w:rsidRPr="00F718DD">
        <w:rPr>
          <w:rFonts w:ascii="Tahoma" w:hAnsi="Tahoma" w:cs="Tahoma"/>
          <w:sz w:val="22"/>
          <w:szCs w:val="22"/>
        </w:rPr>
        <w:t xml:space="preserve">, el numeral </w:t>
      </w:r>
      <w:r>
        <w:rPr>
          <w:rFonts w:ascii="Tahoma" w:hAnsi="Tahoma" w:cs="Tahoma"/>
          <w:sz w:val="22"/>
          <w:szCs w:val="22"/>
        </w:rPr>
        <w:t>12.10</w:t>
      </w:r>
      <w:r w:rsidRPr="00F718DD">
        <w:rPr>
          <w:rFonts w:ascii="Tahoma" w:hAnsi="Tahoma" w:cs="Tahoma"/>
          <w:sz w:val="22"/>
          <w:szCs w:val="22"/>
        </w:rPr>
        <w:t xml:space="preserve"> del Anexo 18 del Compendio de Normas Aduaneras, en su</w:t>
      </w:r>
      <w:r>
        <w:rPr>
          <w:rFonts w:ascii="Tahoma" w:hAnsi="Tahoma" w:cs="Tahoma"/>
          <w:sz w:val="22"/>
          <w:szCs w:val="22"/>
        </w:rPr>
        <w:t xml:space="preserve"> apartado</w:t>
      </w:r>
      <w:r w:rsidRPr="00F718DD">
        <w:rPr>
          <w:rFonts w:ascii="Tahoma" w:hAnsi="Tahoma" w:cs="Tahoma"/>
          <w:sz w:val="22"/>
          <w:szCs w:val="22"/>
        </w:rPr>
        <w:t xml:space="preserve"> I</w:t>
      </w:r>
      <w:r>
        <w:rPr>
          <w:rFonts w:ascii="Tahoma" w:hAnsi="Tahoma" w:cs="Tahoma"/>
          <w:sz w:val="22"/>
          <w:szCs w:val="22"/>
        </w:rPr>
        <w:t>I-B</w:t>
      </w:r>
      <w:r w:rsidRPr="00F718DD">
        <w:rPr>
          <w:rFonts w:ascii="Tahoma" w:hAnsi="Tahoma" w:cs="Tahoma"/>
          <w:sz w:val="22"/>
          <w:szCs w:val="22"/>
        </w:rPr>
        <w:t xml:space="preserve"> por el siguiente:</w:t>
      </w:r>
    </w:p>
    <w:p w14:paraId="00F6E801" w14:textId="77777777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1B2F17CD" w14:textId="678CE21E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  <w:r w:rsidRPr="005F3C0D">
        <w:rPr>
          <w:rFonts w:ascii="Tahoma" w:hAnsi="Tahoma" w:cs="Tahoma"/>
          <w:sz w:val="22"/>
          <w:szCs w:val="22"/>
        </w:rPr>
        <w:t>1</w:t>
      </w:r>
      <w:r w:rsidR="00067548">
        <w:rPr>
          <w:rFonts w:ascii="Tahoma" w:hAnsi="Tahoma" w:cs="Tahoma"/>
          <w:sz w:val="22"/>
          <w:szCs w:val="22"/>
        </w:rPr>
        <w:t>2</w:t>
      </w:r>
      <w:r w:rsidRPr="005F3C0D">
        <w:rPr>
          <w:rFonts w:ascii="Tahoma" w:hAnsi="Tahoma" w:cs="Tahoma"/>
          <w:sz w:val="22"/>
          <w:szCs w:val="22"/>
        </w:rPr>
        <w:t>.</w:t>
      </w:r>
      <w:r w:rsidR="00067548">
        <w:rPr>
          <w:rFonts w:ascii="Tahoma" w:hAnsi="Tahoma" w:cs="Tahoma"/>
          <w:sz w:val="22"/>
          <w:szCs w:val="22"/>
        </w:rPr>
        <w:t>10</w:t>
      </w:r>
      <w:r w:rsidRPr="005F3C0D">
        <w:rPr>
          <w:rFonts w:ascii="Tahoma" w:hAnsi="Tahoma" w:cs="Tahoma"/>
          <w:sz w:val="22"/>
          <w:szCs w:val="22"/>
        </w:rPr>
        <w:t xml:space="preserve"> Seguro:</w:t>
      </w:r>
    </w:p>
    <w:p w14:paraId="78B0D81B" w14:textId="77777777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335F77D6" w14:textId="5A70C326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>Consigne el monto y código en el recuadro contiguo anterior</w:t>
      </w:r>
      <w:r w:rsidR="00F76BD7">
        <w:rPr>
          <w:rFonts w:ascii="Tahoma" w:hAnsi="Tahoma" w:cs="Tahoma"/>
          <w:sz w:val="22"/>
          <w:szCs w:val="22"/>
        </w:rPr>
        <w:t>,</w:t>
      </w:r>
      <w:r w:rsidRPr="00CB065C">
        <w:rPr>
          <w:rFonts w:ascii="Tahoma" w:hAnsi="Tahoma" w:cs="Tahoma"/>
          <w:sz w:val="22"/>
          <w:szCs w:val="22"/>
        </w:rPr>
        <w:t xml:space="preserve"> según corresponda:</w:t>
      </w:r>
    </w:p>
    <w:p w14:paraId="70851DE3" w14:textId="77777777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3DD882CE" w14:textId="44DCC1EC" w:rsidR="000748D6" w:rsidRDefault="00967E1B" w:rsidP="00967E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67E1B">
        <w:rPr>
          <w:rFonts w:ascii="Tahoma" w:hAnsi="Tahoma" w:cs="Tahoma"/>
          <w:sz w:val="22"/>
          <w:szCs w:val="22"/>
        </w:rPr>
        <w:t xml:space="preserve">Indique el monto efectivamente pagado </w:t>
      </w:r>
      <w:r w:rsidR="00591441">
        <w:rPr>
          <w:rFonts w:ascii="Tahoma" w:hAnsi="Tahoma" w:cs="Tahoma"/>
          <w:sz w:val="22"/>
          <w:szCs w:val="22"/>
        </w:rPr>
        <w:t>como costo del</w:t>
      </w:r>
      <w:r w:rsidRPr="00967E1B">
        <w:rPr>
          <w:rFonts w:ascii="Tahoma" w:hAnsi="Tahoma" w:cs="Tahoma"/>
          <w:sz w:val="22"/>
          <w:szCs w:val="22"/>
        </w:rPr>
        <w:t xml:space="preserve"> seguro, conforme a los términos y condiciones del contrato, de acuerdo a las normas contenidas en el Capítulo II de este Compendio. Lo anterior, sin código.</w:t>
      </w:r>
    </w:p>
    <w:p w14:paraId="361EDDB2" w14:textId="77777777" w:rsidR="000748D6" w:rsidRPr="00CB065C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592BCCBB" w14:textId="33678581" w:rsidR="000748D6" w:rsidRPr="00CB065C" w:rsidRDefault="000748D6" w:rsidP="000748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CB065C">
        <w:rPr>
          <w:rFonts w:ascii="Tahoma" w:hAnsi="Tahoma" w:cs="Tahoma"/>
          <w:sz w:val="22"/>
          <w:szCs w:val="22"/>
        </w:rPr>
        <w:t xml:space="preserve">Indique el monto acreditado mediante certificado, emitido al importador por la respectiva compañía </w:t>
      </w:r>
      <w:r w:rsidR="00F76BD7">
        <w:rPr>
          <w:rFonts w:ascii="Tahoma" w:hAnsi="Tahoma" w:cs="Tahoma"/>
          <w:sz w:val="22"/>
          <w:szCs w:val="22"/>
        </w:rPr>
        <w:t xml:space="preserve">de seguro </w:t>
      </w:r>
      <w:r w:rsidRPr="00CB065C">
        <w:rPr>
          <w:rFonts w:ascii="Tahoma" w:hAnsi="Tahoma" w:cs="Tahoma"/>
          <w:sz w:val="22"/>
          <w:szCs w:val="22"/>
        </w:rPr>
        <w:t xml:space="preserve">que preste dicho servicio, tratándose de tarifas </w:t>
      </w:r>
      <w:r w:rsidR="00F76BD7">
        <w:rPr>
          <w:rFonts w:ascii="Tahoma" w:hAnsi="Tahoma" w:cs="Tahoma"/>
          <w:sz w:val="22"/>
          <w:szCs w:val="22"/>
        </w:rPr>
        <w:t>o</w:t>
      </w:r>
      <w:r w:rsidRPr="00CB065C">
        <w:rPr>
          <w:rFonts w:ascii="Tahoma" w:hAnsi="Tahoma" w:cs="Tahoma"/>
          <w:sz w:val="22"/>
          <w:szCs w:val="22"/>
        </w:rPr>
        <w:t xml:space="preserve"> primas habitualmente aplicables, de acuerdo a las normas contenidas en el Capítulo II de este Compendio. </w:t>
      </w:r>
      <w:r w:rsidR="00F76BD7">
        <w:rPr>
          <w:rFonts w:ascii="Tahoma" w:hAnsi="Tahoma" w:cs="Tahoma"/>
          <w:sz w:val="22"/>
          <w:szCs w:val="22"/>
        </w:rPr>
        <w:t>Lo precedente</w:t>
      </w:r>
      <w:r w:rsidR="00F76BD7">
        <w:t xml:space="preserve"> </w:t>
      </w:r>
      <w:r w:rsidR="00F76BD7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F76BD7">
        <w:rPr>
          <w:rFonts w:ascii="Tahoma" w:hAnsi="Tahoma" w:cs="Tahoma"/>
          <w:sz w:val="22"/>
          <w:szCs w:val="22"/>
        </w:rPr>
        <w:t>con e</w:t>
      </w:r>
      <w:r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>
        <w:rPr>
          <w:rFonts w:ascii="Tahoma" w:hAnsi="Tahoma" w:cs="Tahoma"/>
          <w:sz w:val="22"/>
          <w:szCs w:val="22"/>
        </w:rPr>
        <w:t xml:space="preserve"> "6</w:t>
      </w:r>
      <w:r w:rsidRPr="00CB065C">
        <w:rPr>
          <w:rFonts w:ascii="Tahoma" w:hAnsi="Tahoma" w:cs="Tahoma"/>
          <w:sz w:val="22"/>
          <w:szCs w:val="22"/>
        </w:rPr>
        <w:t>" en el recuadro contiguo anterior.</w:t>
      </w:r>
    </w:p>
    <w:p w14:paraId="0059FE53" w14:textId="77777777" w:rsidR="000748D6" w:rsidRPr="00CB065C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177E6835" w14:textId="081DB0E8" w:rsidR="000748D6" w:rsidRPr="00327C0E" w:rsidRDefault="000748D6" w:rsidP="000748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27C0E">
        <w:rPr>
          <w:rFonts w:ascii="Tahoma" w:hAnsi="Tahoma" w:cs="Tahoma"/>
          <w:sz w:val="22"/>
          <w:szCs w:val="22"/>
        </w:rPr>
        <w:lastRenderedPageBreak/>
        <w:t xml:space="preserve">Indique el monto resultante de aplicar un 2% sobre el valor FOB de la mercancía, ante la imposibilidad de acreditar montos efectivos o habituales, en cualquier vía de transporte, de acuerdo a las normas contenidas en el Capítulo II de este Compendio. </w:t>
      </w:r>
      <w:r w:rsidR="00F76BD7" w:rsidRPr="007558E7">
        <w:rPr>
          <w:rFonts w:ascii="Tahoma" w:hAnsi="Tahoma" w:cs="Tahoma"/>
          <w:sz w:val="22"/>
          <w:szCs w:val="22"/>
        </w:rPr>
        <w:t>Lo anterior</w:t>
      </w:r>
      <w:r w:rsidR="00F76BD7">
        <w:t xml:space="preserve"> </w:t>
      </w:r>
      <w:r w:rsidR="00F76BD7" w:rsidRPr="00092296">
        <w:rPr>
          <w:rFonts w:ascii="Tahoma" w:hAnsi="Tahoma" w:cs="Tahoma"/>
          <w:sz w:val="22"/>
          <w:szCs w:val="22"/>
        </w:rPr>
        <w:t xml:space="preserve">deberá consignarse </w:t>
      </w:r>
      <w:r w:rsidR="00F76BD7">
        <w:rPr>
          <w:rFonts w:ascii="Tahoma" w:hAnsi="Tahoma" w:cs="Tahoma"/>
          <w:sz w:val="22"/>
          <w:szCs w:val="22"/>
        </w:rPr>
        <w:t>con e</w:t>
      </w:r>
      <w:r>
        <w:rPr>
          <w:rFonts w:ascii="Tahoma" w:hAnsi="Tahoma" w:cs="Tahoma"/>
          <w:sz w:val="22"/>
          <w:szCs w:val="22"/>
        </w:rPr>
        <w:t xml:space="preserve">l </w:t>
      </w:r>
      <w:r w:rsidR="003C0056">
        <w:rPr>
          <w:rFonts w:ascii="Tahoma" w:hAnsi="Tahoma" w:cs="Tahoma"/>
          <w:sz w:val="22"/>
          <w:szCs w:val="22"/>
        </w:rPr>
        <w:t>código</w:t>
      </w:r>
      <w:r>
        <w:rPr>
          <w:rFonts w:ascii="Tahoma" w:hAnsi="Tahoma" w:cs="Tahoma"/>
          <w:sz w:val="22"/>
          <w:szCs w:val="22"/>
        </w:rPr>
        <w:t xml:space="preserve"> "2</w:t>
      </w:r>
      <w:r w:rsidRPr="00327C0E">
        <w:rPr>
          <w:rFonts w:ascii="Tahoma" w:hAnsi="Tahoma" w:cs="Tahoma"/>
          <w:sz w:val="22"/>
          <w:szCs w:val="22"/>
        </w:rPr>
        <w:t>" en el recuadro contiguo anterior.</w:t>
      </w:r>
    </w:p>
    <w:p w14:paraId="6770799E" w14:textId="77777777" w:rsidR="000748D6" w:rsidRPr="00CB065C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60F68BBA" w14:textId="2920FFB8" w:rsidR="000748D6" w:rsidRDefault="000748D6" w:rsidP="00993CE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27C0E">
        <w:rPr>
          <w:rFonts w:ascii="Tahoma" w:hAnsi="Tahoma" w:cs="Tahoma"/>
          <w:sz w:val="22"/>
          <w:szCs w:val="22"/>
        </w:rPr>
        <w:t xml:space="preserve">Tratándose de importación de mercancías sin contrato de seguro, acogidas a los </w:t>
      </w:r>
      <w:r>
        <w:rPr>
          <w:rFonts w:ascii="Tahoma" w:hAnsi="Tahoma" w:cs="Tahoma"/>
          <w:sz w:val="22"/>
          <w:szCs w:val="22"/>
        </w:rPr>
        <w:t>regímenes de importación Tratado</w:t>
      </w:r>
      <w:r w:rsidRPr="00327C0E">
        <w:rPr>
          <w:rFonts w:ascii="Tahoma" w:hAnsi="Tahoma" w:cs="Tahoma"/>
          <w:sz w:val="22"/>
          <w:szCs w:val="22"/>
        </w:rPr>
        <w:t xml:space="preserve"> Chile - Canadá; </w:t>
      </w:r>
      <w:r>
        <w:rPr>
          <w:rFonts w:ascii="Tahoma" w:hAnsi="Tahoma" w:cs="Tahoma"/>
          <w:sz w:val="22"/>
          <w:szCs w:val="22"/>
        </w:rPr>
        <w:t xml:space="preserve">Acuerdo </w:t>
      </w:r>
      <w:r w:rsidRPr="00327C0E">
        <w:rPr>
          <w:rFonts w:ascii="Tahoma" w:hAnsi="Tahoma" w:cs="Tahoma"/>
          <w:sz w:val="22"/>
          <w:szCs w:val="22"/>
        </w:rPr>
        <w:t xml:space="preserve">MERCOSUR y otros en los que se apliquen las normas de valoración del GATT, señale el monto del seguro normalmente aplicable </w:t>
      </w:r>
      <w:r w:rsidR="00993CE6" w:rsidRPr="00993CE6">
        <w:rPr>
          <w:rFonts w:ascii="Tahoma" w:hAnsi="Tahoma" w:cs="Tahoma"/>
          <w:sz w:val="22"/>
          <w:szCs w:val="22"/>
        </w:rPr>
        <w:t xml:space="preserve">para mercancías similares, y </w:t>
      </w:r>
      <w:r w:rsidRPr="00327C0E">
        <w:rPr>
          <w:rFonts w:ascii="Tahoma" w:hAnsi="Tahoma" w:cs="Tahoma"/>
          <w:sz w:val="22"/>
          <w:szCs w:val="22"/>
        </w:rPr>
        <w:t xml:space="preserve">para el mismo medio de transporte que se utilizó en la </w:t>
      </w:r>
      <w:r w:rsidR="00AE0871">
        <w:rPr>
          <w:rFonts w:ascii="Tahoma" w:hAnsi="Tahoma" w:cs="Tahoma"/>
          <w:sz w:val="22"/>
          <w:szCs w:val="22"/>
        </w:rPr>
        <w:t xml:space="preserve">actual </w:t>
      </w:r>
      <w:r w:rsidRPr="00327C0E">
        <w:rPr>
          <w:rFonts w:ascii="Tahoma" w:hAnsi="Tahoma" w:cs="Tahoma"/>
          <w:sz w:val="22"/>
          <w:szCs w:val="22"/>
        </w:rPr>
        <w:t xml:space="preserve">operación. En estos casos, se deberá consignar el </w:t>
      </w:r>
      <w:r w:rsidR="003C0056">
        <w:rPr>
          <w:rFonts w:ascii="Tahoma" w:hAnsi="Tahoma" w:cs="Tahoma"/>
          <w:sz w:val="22"/>
          <w:szCs w:val="22"/>
        </w:rPr>
        <w:t>código</w:t>
      </w:r>
      <w:r w:rsidRPr="00327C0E">
        <w:rPr>
          <w:rFonts w:ascii="Tahoma" w:hAnsi="Tahoma" w:cs="Tahoma"/>
          <w:sz w:val="22"/>
          <w:szCs w:val="22"/>
        </w:rPr>
        <w:t xml:space="preserve"> "7" en el recuadro contiguo anterior.</w:t>
      </w:r>
      <w:r>
        <w:rPr>
          <w:rFonts w:ascii="Tahoma" w:hAnsi="Tahoma" w:cs="Tahoma"/>
          <w:sz w:val="22"/>
          <w:szCs w:val="22"/>
        </w:rPr>
        <w:t>”</w:t>
      </w:r>
    </w:p>
    <w:p w14:paraId="08E6D6DA" w14:textId="77777777" w:rsidR="000748D6" w:rsidRDefault="000748D6" w:rsidP="000748D6">
      <w:pPr>
        <w:jc w:val="both"/>
        <w:rPr>
          <w:rFonts w:ascii="Tahoma" w:hAnsi="Tahoma" w:cs="Tahoma"/>
          <w:sz w:val="22"/>
          <w:szCs w:val="22"/>
        </w:rPr>
      </w:pPr>
    </w:p>
    <w:p w14:paraId="6D24E21E" w14:textId="77777777" w:rsidR="003C16BE" w:rsidRPr="00327C0E" w:rsidRDefault="003C16BE" w:rsidP="000748D6">
      <w:pPr>
        <w:jc w:val="both"/>
        <w:rPr>
          <w:rFonts w:ascii="Tahoma" w:hAnsi="Tahoma" w:cs="Tahoma"/>
          <w:sz w:val="22"/>
          <w:szCs w:val="22"/>
        </w:rPr>
      </w:pPr>
    </w:p>
    <w:p w14:paraId="6EFF59C9" w14:textId="2586B8B3" w:rsidR="001D3405" w:rsidRDefault="002A55D3" w:rsidP="002A55D3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2A55D3">
        <w:rPr>
          <w:rFonts w:ascii="Tahoma" w:hAnsi="Tahoma" w:cs="Tahoma"/>
          <w:b/>
          <w:sz w:val="22"/>
          <w:szCs w:val="22"/>
        </w:rPr>
        <w:t>SUSTITÚYESE</w:t>
      </w:r>
      <w:r>
        <w:rPr>
          <w:rFonts w:ascii="Tahoma" w:hAnsi="Tahoma" w:cs="Tahoma"/>
          <w:sz w:val="22"/>
          <w:szCs w:val="22"/>
        </w:rPr>
        <w:t>, el Anexo 51-14</w:t>
      </w:r>
      <w:r w:rsidRPr="002A55D3">
        <w:rPr>
          <w:rFonts w:ascii="Tahoma" w:hAnsi="Tahoma" w:cs="Tahoma"/>
          <w:sz w:val="22"/>
          <w:szCs w:val="22"/>
        </w:rPr>
        <w:t xml:space="preserve"> del Compendio de Normas Aduaneras, por el siguiente:</w:t>
      </w:r>
    </w:p>
    <w:p w14:paraId="55246B28" w14:textId="77777777" w:rsidR="001D3405" w:rsidRDefault="001D3405" w:rsidP="001D3405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0"/>
        <w:gridCol w:w="1667"/>
        <w:gridCol w:w="1728"/>
      </w:tblGrid>
      <w:tr w:rsidR="00C60E10" w:rsidRPr="00D04999" w14:paraId="2A070C08" w14:textId="77777777" w:rsidTr="00C60E10">
        <w:trPr>
          <w:trHeight w:val="658"/>
        </w:trPr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216B6C2" w14:textId="77777777" w:rsidR="00D04999" w:rsidRPr="00D04999" w:rsidRDefault="00D04999" w:rsidP="00D04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D0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TIPO DE FLETE O SEGURO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C6DE4EE" w14:textId="77777777" w:rsidR="00D04999" w:rsidRPr="00D04999" w:rsidRDefault="00D04999" w:rsidP="00D0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D0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CÓDIGO FLETE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F437A1" w14:textId="77777777" w:rsidR="00D04999" w:rsidRPr="00D04999" w:rsidRDefault="00D04999" w:rsidP="00D0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D0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CÓDIGO SEGURO</w:t>
            </w:r>
          </w:p>
        </w:tc>
      </w:tr>
      <w:tr w:rsidR="00C60E10" w:rsidRPr="00D04999" w14:paraId="5034AD3A" w14:textId="77777777" w:rsidTr="00C60E10">
        <w:trPr>
          <w:trHeight w:val="458"/>
        </w:trPr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656226" w14:textId="7798352D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FLETE ACREDITADO OPERACIÓN ID</w:t>
            </w:r>
            <w:r w:rsidR="00F966A5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É</w:t>
            </w: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NTICA O SIMILAR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34471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5679D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</w:tr>
      <w:tr w:rsidR="00C60E10" w:rsidRPr="00D04999" w14:paraId="148D12C2" w14:textId="77777777" w:rsidTr="00C60E10">
        <w:trPr>
          <w:trHeight w:val="285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E676F2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SEGURO TEÓRICO 2%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DE01B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3B3C81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2</w:t>
            </w:r>
          </w:p>
        </w:tc>
      </w:tr>
      <w:tr w:rsidR="00C60E10" w:rsidRPr="00D04999" w14:paraId="00798C1B" w14:textId="77777777" w:rsidTr="00C60E10">
        <w:trPr>
          <w:trHeight w:val="285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538E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FLETE AÉREO (TABLA SUPLETORIA)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30F1A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5236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</w:tr>
      <w:tr w:rsidR="00C60E10" w:rsidRPr="00D04999" w14:paraId="43E6874D" w14:textId="77777777" w:rsidTr="00C60E10">
        <w:trPr>
          <w:trHeight w:val="285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09AE9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FLETE TERRESTRE REPARTO DE COSTO POR TRAMOS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43B1D6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A5833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</w:tr>
      <w:tr w:rsidR="00C60E10" w:rsidRPr="00D04999" w14:paraId="6DDBC4B4" w14:textId="77777777" w:rsidTr="00C60E10">
        <w:trPr>
          <w:trHeight w:val="285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16897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FLETE MARÍTIMO TEÓRICO 5%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65DF8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FC957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</w:tr>
      <w:tr w:rsidR="00C60E10" w:rsidRPr="00D04999" w14:paraId="573810A6" w14:textId="77777777" w:rsidTr="00C60E10">
        <w:trPr>
          <w:trHeight w:val="458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160CC7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SEGURO ACREDITADO OPERACIÓN IDÉNTICA O SIMILAR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F4EA9D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D944FB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6</w:t>
            </w:r>
          </w:p>
        </w:tc>
      </w:tr>
      <w:tr w:rsidR="00C60E10" w:rsidRPr="00D04999" w14:paraId="4516B6B6" w14:textId="77777777" w:rsidTr="00C60E10">
        <w:trPr>
          <w:trHeight w:val="300"/>
        </w:trPr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8460" w14:textId="77777777" w:rsidR="00D04999" w:rsidRPr="00D04999" w:rsidRDefault="00D04999" w:rsidP="00D04999">
            <w:pPr>
              <w:ind w:firstLineChars="100" w:firstLine="200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SEGURO EQUIVALENTE TRATADO/ACUERDO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2912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67B59" w14:textId="77777777" w:rsidR="00D04999" w:rsidRPr="00D04999" w:rsidRDefault="00D04999" w:rsidP="00D04999">
            <w:pPr>
              <w:jc w:val="center"/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</w:pPr>
            <w:r w:rsidRPr="00D04999">
              <w:rPr>
                <w:rFonts w:ascii="Trebuchet MS" w:eastAsia="Times New Roman" w:hAnsi="Trebuchet MS" w:cs="Times New Roman"/>
                <w:color w:val="595959"/>
                <w:sz w:val="20"/>
                <w:szCs w:val="20"/>
                <w:lang w:val="es-CL" w:eastAsia="es-CL"/>
              </w:rPr>
              <w:t>7</w:t>
            </w:r>
          </w:p>
        </w:tc>
      </w:tr>
    </w:tbl>
    <w:p w14:paraId="2CD7408E" w14:textId="77777777" w:rsidR="00230F58" w:rsidRDefault="00230F58" w:rsidP="001D3405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0800EE25" w14:textId="77777777" w:rsidR="002A55D3" w:rsidRDefault="002A55D3" w:rsidP="00C2501A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712FB02D" w14:textId="7D3CD5FC" w:rsidR="001D3405" w:rsidRDefault="001D3405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02DD">
        <w:rPr>
          <w:rFonts w:ascii="Tahoma" w:hAnsi="Tahoma" w:cs="Tahoma"/>
          <w:sz w:val="22"/>
          <w:szCs w:val="22"/>
        </w:rPr>
        <w:t xml:space="preserve">Como consecuencia de lo indicado en los numerales anteriores, </w:t>
      </w:r>
      <w:proofErr w:type="spellStart"/>
      <w:r w:rsidR="00EC1C0A">
        <w:rPr>
          <w:rFonts w:ascii="Tahoma" w:hAnsi="Tahoma" w:cs="Tahoma"/>
          <w:sz w:val="22"/>
          <w:szCs w:val="22"/>
        </w:rPr>
        <w:t>reemplázase</w:t>
      </w:r>
      <w:proofErr w:type="spellEnd"/>
      <w:r w:rsidR="00EC1C0A">
        <w:rPr>
          <w:rFonts w:ascii="Tahoma" w:hAnsi="Tahoma" w:cs="Tahoma"/>
          <w:sz w:val="22"/>
          <w:szCs w:val="22"/>
        </w:rPr>
        <w:t xml:space="preserve"> </w:t>
      </w:r>
      <w:r w:rsidRPr="00C702DD">
        <w:rPr>
          <w:rFonts w:ascii="Tahoma" w:hAnsi="Tahoma" w:cs="Tahoma"/>
          <w:sz w:val="22"/>
          <w:szCs w:val="22"/>
        </w:rPr>
        <w:t>las hojas pertinentes en el Compendio de Normas Aduaneras.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3FD6F20" w14:textId="77777777" w:rsidR="00C635FE" w:rsidRDefault="00C635FE" w:rsidP="00C635FE">
      <w:pPr>
        <w:pStyle w:val="Prrafodelista"/>
        <w:ind w:left="567"/>
        <w:jc w:val="both"/>
        <w:rPr>
          <w:rFonts w:ascii="Tahoma" w:hAnsi="Tahoma" w:cs="Tahoma"/>
          <w:sz w:val="22"/>
          <w:szCs w:val="22"/>
        </w:rPr>
      </w:pPr>
    </w:p>
    <w:p w14:paraId="53040557" w14:textId="77777777" w:rsidR="001D3405" w:rsidRPr="00F718DD" w:rsidRDefault="001D3405" w:rsidP="00F718DD">
      <w:pPr>
        <w:rPr>
          <w:rFonts w:ascii="Tahoma" w:hAnsi="Tahoma" w:cs="Tahoma"/>
          <w:sz w:val="22"/>
          <w:szCs w:val="22"/>
        </w:rPr>
      </w:pPr>
    </w:p>
    <w:p w14:paraId="5C4DC06E" w14:textId="77777777" w:rsidR="001D3405" w:rsidRDefault="001D3405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resolución fue objeto del procedimiento de “Publicación Anticipada” entre los días XX.XX.2019 y XX.XX.2019.</w:t>
      </w:r>
    </w:p>
    <w:p w14:paraId="0C9CF7CB" w14:textId="77777777" w:rsidR="00C635FE" w:rsidRPr="00C702DD" w:rsidRDefault="00C635FE" w:rsidP="00C635FE">
      <w:pPr>
        <w:pStyle w:val="Prrafodelista"/>
        <w:ind w:left="567"/>
        <w:jc w:val="both"/>
        <w:rPr>
          <w:rFonts w:ascii="Tahoma" w:hAnsi="Tahoma" w:cs="Tahoma"/>
          <w:sz w:val="22"/>
          <w:szCs w:val="22"/>
        </w:rPr>
      </w:pPr>
    </w:p>
    <w:p w14:paraId="2DDC3665" w14:textId="77777777" w:rsidR="001D3405" w:rsidRPr="00C702DD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7D8FDAD6" w14:textId="77777777" w:rsidR="00C2501A" w:rsidRDefault="00C2501A" w:rsidP="00E24C59">
      <w:pPr>
        <w:pStyle w:val="Prrafodelista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resolución</w:t>
      </w:r>
      <w:r w:rsidRPr="00C702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entrará en vigencia 30 días después</w:t>
      </w:r>
      <w:r w:rsidRPr="00C702DD">
        <w:rPr>
          <w:rFonts w:ascii="Tahoma" w:hAnsi="Tahoma" w:cs="Tahoma"/>
          <w:sz w:val="22"/>
          <w:szCs w:val="22"/>
        </w:rPr>
        <w:t xml:space="preserve"> de su publicación en extracto en el Diario Oficial.</w:t>
      </w:r>
    </w:p>
    <w:p w14:paraId="741F92E3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7A52F244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6E0E7158" w14:textId="77777777" w:rsidR="00D04999" w:rsidRDefault="00D04999" w:rsidP="001D3405">
      <w:pPr>
        <w:jc w:val="both"/>
        <w:rPr>
          <w:rFonts w:ascii="Tahoma" w:hAnsi="Tahoma" w:cs="Tahoma"/>
          <w:sz w:val="22"/>
          <w:szCs w:val="22"/>
        </w:rPr>
      </w:pPr>
    </w:p>
    <w:p w14:paraId="14D30609" w14:textId="77777777" w:rsidR="00D04999" w:rsidRDefault="00D04999" w:rsidP="001D3405">
      <w:pPr>
        <w:jc w:val="both"/>
        <w:rPr>
          <w:rFonts w:ascii="Tahoma" w:hAnsi="Tahoma" w:cs="Tahoma"/>
          <w:sz w:val="22"/>
          <w:szCs w:val="22"/>
        </w:rPr>
      </w:pPr>
    </w:p>
    <w:p w14:paraId="5B2518CE" w14:textId="77777777" w:rsidR="001D3405" w:rsidRDefault="001D3405" w:rsidP="001D3405">
      <w:pPr>
        <w:jc w:val="both"/>
        <w:rPr>
          <w:rFonts w:ascii="Tahoma" w:hAnsi="Tahoma" w:cs="Tahoma"/>
          <w:sz w:val="22"/>
          <w:szCs w:val="22"/>
        </w:rPr>
      </w:pPr>
    </w:p>
    <w:p w14:paraId="207FFE1C" w14:textId="0B5AB547" w:rsidR="00932BCC" w:rsidRDefault="001D3405" w:rsidP="000816DC">
      <w:pPr>
        <w:rPr>
          <w:rFonts w:ascii="Tahoma" w:hAnsi="Tahoma" w:cs="Tahoma"/>
          <w:sz w:val="22"/>
          <w:szCs w:val="22"/>
        </w:rPr>
      </w:pPr>
      <w:r w:rsidRPr="00C36E1D">
        <w:rPr>
          <w:rFonts w:ascii="Tahoma" w:hAnsi="Tahoma" w:cs="Tahoma"/>
          <w:b/>
          <w:sz w:val="22"/>
          <w:szCs w:val="22"/>
        </w:rPr>
        <w:t>ANÓTESE, COMUNÍQUESE Y PUBLÍQUESE EN EXTRACTO EN EL DIARIO OFICIAL E ÍNTEGRAMENTE EN LA PÁGINA WEB DEL SERVICIO.</w:t>
      </w:r>
      <w:r w:rsidR="00C60E10" w:rsidDel="00C60E10">
        <w:rPr>
          <w:rFonts w:ascii="Tahoma" w:hAnsi="Tahoma" w:cs="Tahoma"/>
          <w:b/>
          <w:sz w:val="22"/>
          <w:szCs w:val="22"/>
        </w:rPr>
        <w:t xml:space="preserve"> </w:t>
      </w:r>
    </w:p>
    <w:p w14:paraId="6944365C" w14:textId="77777777" w:rsidR="00932BCC" w:rsidRDefault="00932BCC" w:rsidP="000816DC">
      <w:pPr>
        <w:rPr>
          <w:rFonts w:ascii="Tahoma" w:hAnsi="Tahoma" w:cs="Tahoma"/>
          <w:sz w:val="22"/>
          <w:szCs w:val="22"/>
        </w:rPr>
      </w:pPr>
    </w:p>
    <w:sectPr w:rsidR="00932BCC" w:rsidSect="00932BCC">
      <w:headerReference w:type="default" r:id="rId8"/>
      <w:footerReference w:type="default" r:id="rId9"/>
      <w:pgSz w:w="12240" w:h="18720"/>
      <w:pgMar w:top="1701" w:right="1531" w:bottom="2268" w:left="1814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F3E4" w14:textId="77777777" w:rsidR="00452A42" w:rsidRDefault="00452A42" w:rsidP="009C340E">
      <w:r>
        <w:separator/>
      </w:r>
    </w:p>
  </w:endnote>
  <w:endnote w:type="continuationSeparator" w:id="0">
    <w:p w14:paraId="1785D10A" w14:textId="77777777" w:rsidR="00452A42" w:rsidRDefault="00452A42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77777777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322134541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77777777" w:rsidR="0038036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77777777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322134541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B38C90F" wp14:editId="68BAA323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83E4" w14:textId="77777777" w:rsidR="00452A42" w:rsidRDefault="00452A42" w:rsidP="009C340E">
      <w:r>
        <w:separator/>
      </w:r>
    </w:p>
  </w:footnote>
  <w:footnote w:type="continuationSeparator" w:id="0">
    <w:p w14:paraId="1C1E742E" w14:textId="77777777" w:rsidR="00452A42" w:rsidRDefault="00452A42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35BA" w14:textId="3D2C65A1" w:rsidR="005C0373" w:rsidRDefault="005C0373" w:rsidP="00287A9E">
    <w:pPr>
      <w:pStyle w:val="Encabezado"/>
      <w:spacing w:line="120" w:lineRule="auto"/>
      <w:ind w:left="-993"/>
    </w:pPr>
    <w:r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A5DBAC2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1D7EE38C" w14:textId="48312011" w:rsidR="000816DC" w:rsidRDefault="000816DC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Departamento de Valoración</w:t>
                          </w:r>
                        </w:p>
                        <w:p w14:paraId="28B1CDCE" w14:textId="77777777" w:rsidR="000816DC" w:rsidRPr="00DF42E3" w:rsidRDefault="000816DC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68D2709A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71464A1"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A5DBAC2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1D7EE38C" w14:textId="48312011" w:rsidR="000816DC" w:rsidRDefault="000816DC" w:rsidP="0038036B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Departamento de Valoración</w:t>
                    </w:r>
                  </w:p>
                  <w:p w14:paraId="28B1CDCE" w14:textId="77777777" w:rsidR="000816DC" w:rsidRPr="00DF42E3" w:rsidRDefault="000816DC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68D2709A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71464A1"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51C5"/>
    <w:multiLevelType w:val="hybridMultilevel"/>
    <w:tmpl w:val="4E021064"/>
    <w:lvl w:ilvl="0" w:tplc="6B540B14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7EC3"/>
    <w:multiLevelType w:val="hybridMultilevel"/>
    <w:tmpl w:val="A9DC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819"/>
    <w:multiLevelType w:val="hybridMultilevel"/>
    <w:tmpl w:val="46661D7C"/>
    <w:lvl w:ilvl="0" w:tplc="9500A854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A91"/>
    <w:multiLevelType w:val="hybridMultilevel"/>
    <w:tmpl w:val="6DE67938"/>
    <w:lvl w:ilvl="0" w:tplc="4A585E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374F"/>
    <w:multiLevelType w:val="hybridMultilevel"/>
    <w:tmpl w:val="75EA2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4131"/>
    <w:multiLevelType w:val="hybridMultilevel"/>
    <w:tmpl w:val="D2E666DE"/>
    <w:lvl w:ilvl="0" w:tplc="FFEA4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16C2"/>
    <w:multiLevelType w:val="multilevel"/>
    <w:tmpl w:val="0FE2A486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00C1"/>
    <w:rsid w:val="00001E3B"/>
    <w:rsid w:val="0000249D"/>
    <w:rsid w:val="00002BE2"/>
    <w:rsid w:val="00003419"/>
    <w:rsid w:val="000038DF"/>
    <w:rsid w:val="00015823"/>
    <w:rsid w:val="000206F2"/>
    <w:rsid w:val="0002127E"/>
    <w:rsid w:val="00022CEF"/>
    <w:rsid w:val="00023D21"/>
    <w:rsid w:val="00027375"/>
    <w:rsid w:val="00031E0A"/>
    <w:rsid w:val="00032629"/>
    <w:rsid w:val="000356A3"/>
    <w:rsid w:val="00037917"/>
    <w:rsid w:val="00052F83"/>
    <w:rsid w:val="00053EBE"/>
    <w:rsid w:val="00055A3B"/>
    <w:rsid w:val="0006464D"/>
    <w:rsid w:val="00067548"/>
    <w:rsid w:val="000727D8"/>
    <w:rsid w:val="000748D6"/>
    <w:rsid w:val="0007726C"/>
    <w:rsid w:val="0008053D"/>
    <w:rsid w:val="000816DC"/>
    <w:rsid w:val="000823B7"/>
    <w:rsid w:val="00086E8C"/>
    <w:rsid w:val="0009035A"/>
    <w:rsid w:val="00090361"/>
    <w:rsid w:val="00090604"/>
    <w:rsid w:val="00092296"/>
    <w:rsid w:val="00096404"/>
    <w:rsid w:val="000978A9"/>
    <w:rsid w:val="000A61F6"/>
    <w:rsid w:val="000B20DF"/>
    <w:rsid w:val="000C049C"/>
    <w:rsid w:val="000C485E"/>
    <w:rsid w:val="000C7F62"/>
    <w:rsid w:val="000D1335"/>
    <w:rsid w:val="000D1903"/>
    <w:rsid w:val="000D25F1"/>
    <w:rsid w:val="000D3B4E"/>
    <w:rsid w:val="000D3FAC"/>
    <w:rsid w:val="000D68F9"/>
    <w:rsid w:val="000E0A86"/>
    <w:rsid w:val="000E184D"/>
    <w:rsid w:val="000F35E7"/>
    <w:rsid w:val="000F3C41"/>
    <w:rsid w:val="000F638B"/>
    <w:rsid w:val="001035BC"/>
    <w:rsid w:val="00103980"/>
    <w:rsid w:val="00105156"/>
    <w:rsid w:val="00112219"/>
    <w:rsid w:val="00116A70"/>
    <w:rsid w:val="001242CD"/>
    <w:rsid w:val="00130A10"/>
    <w:rsid w:val="00130CFA"/>
    <w:rsid w:val="001358D9"/>
    <w:rsid w:val="00137F5A"/>
    <w:rsid w:val="001431C1"/>
    <w:rsid w:val="00143B1D"/>
    <w:rsid w:val="00146675"/>
    <w:rsid w:val="00147A18"/>
    <w:rsid w:val="0015395A"/>
    <w:rsid w:val="00154E3D"/>
    <w:rsid w:val="0015546C"/>
    <w:rsid w:val="0016178B"/>
    <w:rsid w:val="00161F27"/>
    <w:rsid w:val="001620E5"/>
    <w:rsid w:val="001645A8"/>
    <w:rsid w:val="00177C2D"/>
    <w:rsid w:val="00186BC5"/>
    <w:rsid w:val="0019094B"/>
    <w:rsid w:val="00193138"/>
    <w:rsid w:val="00193579"/>
    <w:rsid w:val="001A3154"/>
    <w:rsid w:val="001A3881"/>
    <w:rsid w:val="001A4097"/>
    <w:rsid w:val="001B0D65"/>
    <w:rsid w:val="001B354E"/>
    <w:rsid w:val="001B3E2F"/>
    <w:rsid w:val="001C008D"/>
    <w:rsid w:val="001C09C4"/>
    <w:rsid w:val="001C0F99"/>
    <w:rsid w:val="001C3927"/>
    <w:rsid w:val="001C3A22"/>
    <w:rsid w:val="001C54FC"/>
    <w:rsid w:val="001D3405"/>
    <w:rsid w:val="001E0E73"/>
    <w:rsid w:val="001F0E4D"/>
    <w:rsid w:val="001F6679"/>
    <w:rsid w:val="001F6FAE"/>
    <w:rsid w:val="001F7797"/>
    <w:rsid w:val="00201267"/>
    <w:rsid w:val="00204079"/>
    <w:rsid w:val="0020617E"/>
    <w:rsid w:val="002062CC"/>
    <w:rsid w:val="00210C20"/>
    <w:rsid w:val="00220287"/>
    <w:rsid w:val="0022309E"/>
    <w:rsid w:val="00226242"/>
    <w:rsid w:val="00227934"/>
    <w:rsid w:val="00230F58"/>
    <w:rsid w:val="00234D34"/>
    <w:rsid w:val="00237BBE"/>
    <w:rsid w:val="00242666"/>
    <w:rsid w:val="00242FF3"/>
    <w:rsid w:val="0024683A"/>
    <w:rsid w:val="0025095A"/>
    <w:rsid w:val="002608A9"/>
    <w:rsid w:val="00261D0C"/>
    <w:rsid w:val="00263637"/>
    <w:rsid w:val="0027308C"/>
    <w:rsid w:val="00283F56"/>
    <w:rsid w:val="002841B0"/>
    <w:rsid w:val="00286AEB"/>
    <w:rsid w:val="00287A9E"/>
    <w:rsid w:val="00290C00"/>
    <w:rsid w:val="00296BEA"/>
    <w:rsid w:val="002A0325"/>
    <w:rsid w:val="002A03F8"/>
    <w:rsid w:val="002A1B7D"/>
    <w:rsid w:val="002A3462"/>
    <w:rsid w:val="002A55D3"/>
    <w:rsid w:val="002A6B11"/>
    <w:rsid w:val="002A7A2F"/>
    <w:rsid w:val="002B0172"/>
    <w:rsid w:val="002B4C0E"/>
    <w:rsid w:val="002C39B8"/>
    <w:rsid w:val="002D0369"/>
    <w:rsid w:val="002D3545"/>
    <w:rsid w:val="002D3793"/>
    <w:rsid w:val="002D4318"/>
    <w:rsid w:val="002E024A"/>
    <w:rsid w:val="002E35D1"/>
    <w:rsid w:val="002E446C"/>
    <w:rsid w:val="002E5F77"/>
    <w:rsid w:val="002E7F53"/>
    <w:rsid w:val="002F3B8B"/>
    <w:rsid w:val="002F4BE8"/>
    <w:rsid w:val="002F7739"/>
    <w:rsid w:val="00301C93"/>
    <w:rsid w:val="00305938"/>
    <w:rsid w:val="00310F15"/>
    <w:rsid w:val="0031402E"/>
    <w:rsid w:val="00314798"/>
    <w:rsid w:val="003242DF"/>
    <w:rsid w:val="00327C0E"/>
    <w:rsid w:val="00333FA9"/>
    <w:rsid w:val="00334740"/>
    <w:rsid w:val="003441F3"/>
    <w:rsid w:val="003446A3"/>
    <w:rsid w:val="003519FD"/>
    <w:rsid w:val="00353733"/>
    <w:rsid w:val="00354CDF"/>
    <w:rsid w:val="00354D42"/>
    <w:rsid w:val="00355EB1"/>
    <w:rsid w:val="00363E0B"/>
    <w:rsid w:val="003673F5"/>
    <w:rsid w:val="0038036B"/>
    <w:rsid w:val="00381569"/>
    <w:rsid w:val="003839DF"/>
    <w:rsid w:val="003927A3"/>
    <w:rsid w:val="00394418"/>
    <w:rsid w:val="0039598E"/>
    <w:rsid w:val="003A1DA5"/>
    <w:rsid w:val="003A23B9"/>
    <w:rsid w:val="003A38A6"/>
    <w:rsid w:val="003A3D4E"/>
    <w:rsid w:val="003A5B64"/>
    <w:rsid w:val="003B0F58"/>
    <w:rsid w:val="003B56F1"/>
    <w:rsid w:val="003B5D79"/>
    <w:rsid w:val="003C0056"/>
    <w:rsid w:val="003C16BE"/>
    <w:rsid w:val="003C4213"/>
    <w:rsid w:val="003C44E7"/>
    <w:rsid w:val="003C5D3B"/>
    <w:rsid w:val="003C72BF"/>
    <w:rsid w:val="003D1080"/>
    <w:rsid w:val="003D5FA3"/>
    <w:rsid w:val="003E1B6D"/>
    <w:rsid w:val="003E2C1A"/>
    <w:rsid w:val="003F228F"/>
    <w:rsid w:val="003F5E1C"/>
    <w:rsid w:val="003F7FBF"/>
    <w:rsid w:val="00401D4D"/>
    <w:rsid w:val="00411512"/>
    <w:rsid w:val="0042770B"/>
    <w:rsid w:val="00431ADB"/>
    <w:rsid w:val="00435432"/>
    <w:rsid w:val="00437038"/>
    <w:rsid w:val="004379BB"/>
    <w:rsid w:val="004440D8"/>
    <w:rsid w:val="00450C52"/>
    <w:rsid w:val="00452A42"/>
    <w:rsid w:val="004564CB"/>
    <w:rsid w:val="00462051"/>
    <w:rsid w:val="00465553"/>
    <w:rsid w:val="00470A1F"/>
    <w:rsid w:val="00484F3D"/>
    <w:rsid w:val="00485870"/>
    <w:rsid w:val="00487C6B"/>
    <w:rsid w:val="004925CD"/>
    <w:rsid w:val="004933EF"/>
    <w:rsid w:val="00494D66"/>
    <w:rsid w:val="00495B22"/>
    <w:rsid w:val="00497B83"/>
    <w:rsid w:val="004A0698"/>
    <w:rsid w:val="004A2C32"/>
    <w:rsid w:val="004A373E"/>
    <w:rsid w:val="004A378D"/>
    <w:rsid w:val="004A4137"/>
    <w:rsid w:val="004A4C35"/>
    <w:rsid w:val="004A6BDB"/>
    <w:rsid w:val="004A6C41"/>
    <w:rsid w:val="004B2B6C"/>
    <w:rsid w:val="004D15D6"/>
    <w:rsid w:val="004D1761"/>
    <w:rsid w:val="004D1CD8"/>
    <w:rsid w:val="004D27A3"/>
    <w:rsid w:val="004D4D5A"/>
    <w:rsid w:val="004D5ABC"/>
    <w:rsid w:val="004E27B9"/>
    <w:rsid w:val="004E5153"/>
    <w:rsid w:val="004F4C47"/>
    <w:rsid w:val="005002F3"/>
    <w:rsid w:val="00501B1B"/>
    <w:rsid w:val="00502EC5"/>
    <w:rsid w:val="00503233"/>
    <w:rsid w:val="0050526E"/>
    <w:rsid w:val="005120A5"/>
    <w:rsid w:val="005139FC"/>
    <w:rsid w:val="0051688E"/>
    <w:rsid w:val="00516A2E"/>
    <w:rsid w:val="00517F4D"/>
    <w:rsid w:val="00520557"/>
    <w:rsid w:val="005219CB"/>
    <w:rsid w:val="00522BAC"/>
    <w:rsid w:val="005277EC"/>
    <w:rsid w:val="00527BF2"/>
    <w:rsid w:val="0053491D"/>
    <w:rsid w:val="005365C6"/>
    <w:rsid w:val="00540297"/>
    <w:rsid w:val="00540A39"/>
    <w:rsid w:val="00541C59"/>
    <w:rsid w:val="00542100"/>
    <w:rsid w:val="00542D28"/>
    <w:rsid w:val="00543A77"/>
    <w:rsid w:val="0054794C"/>
    <w:rsid w:val="00551F10"/>
    <w:rsid w:val="00557CA9"/>
    <w:rsid w:val="00560A3E"/>
    <w:rsid w:val="00562FAA"/>
    <w:rsid w:val="005643CE"/>
    <w:rsid w:val="0057214C"/>
    <w:rsid w:val="00587612"/>
    <w:rsid w:val="00591441"/>
    <w:rsid w:val="00592DCC"/>
    <w:rsid w:val="00594FF3"/>
    <w:rsid w:val="005A4139"/>
    <w:rsid w:val="005A4707"/>
    <w:rsid w:val="005A54F0"/>
    <w:rsid w:val="005A5A6F"/>
    <w:rsid w:val="005A6EC9"/>
    <w:rsid w:val="005B1BBB"/>
    <w:rsid w:val="005C0373"/>
    <w:rsid w:val="005C30E7"/>
    <w:rsid w:val="005D36A5"/>
    <w:rsid w:val="005D641A"/>
    <w:rsid w:val="005E0C1C"/>
    <w:rsid w:val="005E371D"/>
    <w:rsid w:val="005F3C0D"/>
    <w:rsid w:val="005F3F4F"/>
    <w:rsid w:val="005F4D7C"/>
    <w:rsid w:val="005F588C"/>
    <w:rsid w:val="00603136"/>
    <w:rsid w:val="0060537C"/>
    <w:rsid w:val="006130E9"/>
    <w:rsid w:val="00616685"/>
    <w:rsid w:val="00621D12"/>
    <w:rsid w:val="006225BF"/>
    <w:rsid w:val="00624020"/>
    <w:rsid w:val="006312B4"/>
    <w:rsid w:val="00643A02"/>
    <w:rsid w:val="00644462"/>
    <w:rsid w:val="0064743B"/>
    <w:rsid w:val="00647F63"/>
    <w:rsid w:val="00647FAD"/>
    <w:rsid w:val="00650BBE"/>
    <w:rsid w:val="00652724"/>
    <w:rsid w:val="006569B8"/>
    <w:rsid w:val="006602FF"/>
    <w:rsid w:val="006630BE"/>
    <w:rsid w:val="00663EB2"/>
    <w:rsid w:val="006640E7"/>
    <w:rsid w:val="00670F52"/>
    <w:rsid w:val="0067218B"/>
    <w:rsid w:val="0067492D"/>
    <w:rsid w:val="00684164"/>
    <w:rsid w:val="00690473"/>
    <w:rsid w:val="00694096"/>
    <w:rsid w:val="0069589E"/>
    <w:rsid w:val="0069746C"/>
    <w:rsid w:val="006A474E"/>
    <w:rsid w:val="006A544C"/>
    <w:rsid w:val="006A7121"/>
    <w:rsid w:val="006A77C4"/>
    <w:rsid w:val="006A7C90"/>
    <w:rsid w:val="006B11D9"/>
    <w:rsid w:val="006B1500"/>
    <w:rsid w:val="006B3EE0"/>
    <w:rsid w:val="006B7924"/>
    <w:rsid w:val="006C17B1"/>
    <w:rsid w:val="006C6D18"/>
    <w:rsid w:val="006D1C3B"/>
    <w:rsid w:val="006D7CDC"/>
    <w:rsid w:val="006E1B00"/>
    <w:rsid w:val="006E2E1D"/>
    <w:rsid w:val="006F0F9D"/>
    <w:rsid w:val="006F679F"/>
    <w:rsid w:val="006F7CCD"/>
    <w:rsid w:val="007032AF"/>
    <w:rsid w:val="0070578C"/>
    <w:rsid w:val="007144AC"/>
    <w:rsid w:val="0071538D"/>
    <w:rsid w:val="00715B4A"/>
    <w:rsid w:val="00717ED9"/>
    <w:rsid w:val="00720E94"/>
    <w:rsid w:val="00724810"/>
    <w:rsid w:val="00725BDD"/>
    <w:rsid w:val="00725C1C"/>
    <w:rsid w:val="00727251"/>
    <w:rsid w:val="007273F8"/>
    <w:rsid w:val="007306B9"/>
    <w:rsid w:val="00732D32"/>
    <w:rsid w:val="00734042"/>
    <w:rsid w:val="00734637"/>
    <w:rsid w:val="007379B9"/>
    <w:rsid w:val="00740B18"/>
    <w:rsid w:val="00745348"/>
    <w:rsid w:val="00745919"/>
    <w:rsid w:val="00754CDE"/>
    <w:rsid w:val="007558E7"/>
    <w:rsid w:val="007559FC"/>
    <w:rsid w:val="007564C5"/>
    <w:rsid w:val="007601DF"/>
    <w:rsid w:val="0076464B"/>
    <w:rsid w:val="0076668B"/>
    <w:rsid w:val="0077125B"/>
    <w:rsid w:val="00772BD3"/>
    <w:rsid w:val="0077485C"/>
    <w:rsid w:val="00786F6B"/>
    <w:rsid w:val="00791528"/>
    <w:rsid w:val="00793D3D"/>
    <w:rsid w:val="007A1EF9"/>
    <w:rsid w:val="007A332F"/>
    <w:rsid w:val="007A40BC"/>
    <w:rsid w:val="007A7D3D"/>
    <w:rsid w:val="007B00C8"/>
    <w:rsid w:val="007B01CD"/>
    <w:rsid w:val="007B4C77"/>
    <w:rsid w:val="007B6D0C"/>
    <w:rsid w:val="007B77ED"/>
    <w:rsid w:val="007C020D"/>
    <w:rsid w:val="007C603B"/>
    <w:rsid w:val="007D0D8A"/>
    <w:rsid w:val="007D4732"/>
    <w:rsid w:val="007D49BD"/>
    <w:rsid w:val="007E4977"/>
    <w:rsid w:val="007E5284"/>
    <w:rsid w:val="007E5300"/>
    <w:rsid w:val="007E56D9"/>
    <w:rsid w:val="007F0267"/>
    <w:rsid w:val="007F2335"/>
    <w:rsid w:val="007F48B3"/>
    <w:rsid w:val="008111AB"/>
    <w:rsid w:val="00811E4B"/>
    <w:rsid w:val="00812AB2"/>
    <w:rsid w:val="00814A41"/>
    <w:rsid w:val="008237E9"/>
    <w:rsid w:val="0082608A"/>
    <w:rsid w:val="0082615F"/>
    <w:rsid w:val="00826DE5"/>
    <w:rsid w:val="008330E8"/>
    <w:rsid w:val="0083410A"/>
    <w:rsid w:val="0084227B"/>
    <w:rsid w:val="00851EEE"/>
    <w:rsid w:val="00854131"/>
    <w:rsid w:val="00855086"/>
    <w:rsid w:val="00856441"/>
    <w:rsid w:val="00865790"/>
    <w:rsid w:val="00870080"/>
    <w:rsid w:val="00870B8B"/>
    <w:rsid w:val="00872065"/>
    <w:rsid w:val="008755E5"/>
    <w:rsid w:val="008779E0"/>
    <w:rsid w:val="0088162C"/>
    <w:rsid w:val="008834E1"/>
    <w:rsid w:val="00894024"/>
    <w:rsid w:val="00896C14"/>
    <w:rsid w:val="00897A7F"/>
    <w:rsid w:val="008A1B3B"/>
    <w:rsid w:val="008A1F18"/>
    <w:rsid w:val="008A7D98"/>
    <w:rsid w:val="008B1164"/>
    <w:rsid w:val="008B18FA"/>
    <w:rsid w:val="008B1ADE"/>
    <w:rsid w:val="008B3540"/>
    <w:rsid w:val="008B38FF"/>
    <w:rsid w:val="008C04E1"/>
    <w:rsid w:val="008C1615"/>
    <w:rsid w:val="008C2C31"/>
    <w:rsid w:val="008C3277"/>
    <w:rsid w:val="008C4037"/>
    <w:rsid w:val="008C6A67"/>
    <w:rsid w:val="008D10DD"/>
    <w:rsid w:val="008D50AC"/>
    <w:rsid w:val="008D6C30"/>
    <w:rsid w:val="008E2A09"/>
    <w:rsid w:val="008E5C01"/>
    <w:rsid w:val="008F0CAF"/>
    <w:rsid w:val="008F3625"/>
    <w:rsid w:val="008F38F2"/>
    <w:rsid w:val="008F4A54"/>
    <w:rsid w:val="008F5AF2"/>
    <w:rsid w:val="008F789D"/>
    <w:rsid w:val="009061F7"/>
    <w:rsid w:val="0090710E"/>
    <w:rsid w:val="009112E2"/>
    <w:rsid w:val="009119D0"/>
    <w:rsid w:val="00921B7A"/>
    <w:rsid w:val="00922D82"/>
    <w:rsid w:val="00923A42"/>
    <w:rsid w:val="00924E67"/>
    <w:rsid w:val="00925BF2"/>
    <w:rsid w:val="00926CE6"/>
    <w:rsid w:val="00926D64"/>
    <w:rsid w:val="00932BCC"/>
    <w:rsid w:val="0093490E"/>
    <w:rsid w:val="00940579"/>
    <w:rsid w:val="009416E1"/>
    <w:rsid w:val="00942BF8"/>
    <w:rsid w:val="0094650F"/>
    <w:rsid w:val="00947187"/>
    <w:rsid w:val="0095337B"/>
    <w:rsid w:val="0095738B"/>
    <w:rsid w:val="0096039F"/>
    <w:rsid w:val="0096217E"/>
    <w:rsid w:val="0096445E"/>
    <w:rsid w:val="0096540A"/>
    <w:rsid w:val="009674C9"/>
    <w:rsid w:val="00967E1B"/>
    <w:rsid w:val="009706FD"/>
    <w:rsid w:val="00973ACB"/>
    <w:rsid w:val="00975C08"/>
    <w:rsid w:val="0097603B"/>
    <w:rsid w:val="00977553"/>
    <w:rsid w:val="00977E84"/>
    <w:rsid w:val="00981866"/>
    <w:rsid w:val="0098297C"/>
    <w:rsid w:val="00982A32"/>
    <w:rsid w:val="00984818"/>
    <w:rsid w:val="009848C3"/>
    <w:rsid w:val="00985D9D"/>
    <w:rsid w:val="009865D7"/>
    <w:rsid w:val="009938F6"/>
    <w:rsid w:val="00993CE6"/>
    <w:rsid w:val="009940E0"/>
    <w:rsid w:val="0099434A"/>
    <w:rsid w:val="009944F6"/>
    <w:rsid w:val="00994587"/>
    <w:rsid w:val="009952FB"/>
    <w:rsid w:val="009A1EE2"/>
    <w:rsid w:val="009A2593"/>
    <w:rsid w:val="009A4FB3"/>
    <w:rsid w:val="009C1C20"/>
    <w:rsid w:val="009C340E"/>
    <w:rsid w:val="009D3A4C"/>
    <w:rsid w:val="009D50F6"/>
    <w:rsid w:val="009D74E0"/>
    <w:rsid w:val="009E72E1"/>
    <w:rsid w:val="009E7964"/>
    <w:rsid w:val="009F0C41"/>
    <w:rsid w:val="009F64B2"/>
    <w:rsid w:val="00A00278"/>
    <w:rsid w:val="00A049D7"/>
    <w:rsid w:val="00A07A3A"/>
    <w:rsid w:val="00A07E5C"/>
    <w:rsid w:val="00A15967"/>
    <w:rsid w:val="00A2016E"/>
    <w:rsid w:val="00A30785"/>
    <w:rsid w:val="00A4121C"/>
    <w:rsid w:val="00A56884"/>
    <w:rsid w:val="00A60C9A"/>
    <w:rsid w:val="00A64117"/>
    <w:rsid w:val="00A66C9C"/>
    <w:rsid w:val="00A70918"/>
    <w:rsid w:val="00A70B6D"/>
    <w:rsid w:val="00A76EFE"/>
    <w:rsid w:val="00A83DDE"/>
    <w:rsid w:val="00A8685A"/>
    <w:rsid w:val="00A93237"/>
    <w:rsid w:val="00A95BA4"/>
    <w:rsid w:val="00A96C89"/>
    <w:rsid w:val="00A9713D"/>
    <w:rsid w:val="00AA4B65"/>
    <w:rsid w:val="00AA5CAC"/>
    <w:rsid w:val="00AA65D2"/>
    <w:rsid w:val="00AA7706"/>
    <w:rsid w:val="00AB279E"/>
    <w:rsid w:val="00AC0E4B"/>
    <w:rsid w:val="00AC0F3D"/>
    <w:rsid w:val="00AC1C4A"/>
    <w:rsid w:val="00AC5A3F"/>
    <w:rsid w:val="00AC5F15"/>
    <w:rsid w:val="00AD0EC0"/>
    <w:rsid w:val="00AD1B60"/>
    <w:rsid w:val="00AD1E08"/>
    <w:rsid w:val="00AD7968"/>
    <w:rsid w:val="00AE0871"/>
    <w:rsid w:val="00AE16AC"/>
    <w:rsid w:val="00AE2AA4"/>
    <w:rsid w:val="00AE4D1F"/>
    <w:rsid w:val="00AE7A3A"/>
    <w:rsid w:val="00AF17EA"/>
    <w:rsid w:val="00AF2C4C"/>
    <w:rsid w:val="00AF3BDA"/>
    <w:rsid w:val="00AF5304"/>
    <w:rsid w:val="00AF5EF2"/>
    <w:rsid w:val="00AF676C"/>
    <w:rsid w:val="00B01200"/>
    <w:rsid w:val="00B01E5E"/>
    <w:rsid w:val="00B13C5D"/>
    <w:rsid w:val="00B2056C"/>
    <w:rsid w:val="00B22458"/>
    <w:rsid w:val="00B22E5E"/>
    <w:rsid w:val="00B249EE"/>
    <w:rsid w:val="00B259E4"/>
    <w:rsid w:val="00B3793F"/>
    <w:rsid w:val="00B46B26"/>
    <w:rsid w:val="00B47324"/>
    <w:rsid w:val="00B537C2"/>
    <w:rsid w:val="00B55B47"/>
    <w:rsid w:val="00B764E7"/>
    <w:rsid w:val="00B817FE"/>
    <w:rsid w:val="00B828F6"/>
    <w:rsid w:val="00B856D5"/>
    <w:rsid w:val="00B87DA6"/>
    <w:rsid w:val="00BA1E7C"/>
    <w:rsid w:val="00BB5299"/>
    <w:rsid w:val="00BB604F"/>
    <w:rsid w:val="00BB67AF"/>
    <w:rsid w:val="00BB6E26"/>
    <w:rsid w:val="00BB7E3F"/>
    <w:rsid w:val="00BC2D8D"/>
    <w:rsid w:val="00BC4185"/>
    <w:rsid w:val="00BC4353"/>
    <w:rsid w:val="00BC506A"/>
    <w:rsid w:val="00BD368E"/>
    <w:rsid w:val="00BD6F71"/>
    <w:rsid w:val="00BD7AFF"/>
    <w:rsid w:val="00BE053F"/>
    <w:rsid w:val="00BE0A2D"/>
    <w:rsid w:val="00BE5BC7"/>
    <w:rsid w:val="00BE6414"/>
    <w:rsid w:val="00BE6A22"/>
    <w:rsid w:val="00BF1A78"/>
    <w:rsid w:val="00BF5667"/>
    <w:rsid w:val="00BF5F6F"/>
    <w:rsid w:val="00BF5FFD"/>
    <w:rsid w:val="00C0028C"/>
    <w:rsid w:val="00C02300"/>
    <w:rsid w:val="00C03FC9"/>
    <w:rsid w:val="00C04C84"/>
    <w:rsid w:val="00C067BB"/>
    <w:rsid w:val="00C132E5"/>
    <w:rsid w:val="00C142D9"/>
    <w:rsid w:val="00C15A12"/>
    <w:rsid w:val="00C16253"/>
    <w:rsid w:val="00C16378"/>
    <w:rsid w:val="00C2501A"/>
    <w:rsid w:val="00C27AAE"/>
    <w:rsid w:val="00C33AE0"/>
    <w:rsid w:val="00C343AD"/>
    <w:rsid w:val="00C351C6"/>
    <w:rsid w:val="00C36E1D"/>
    <w:rsid w:val="00C5109D"/>
    <w:rsid w:val="00C53032"/>
    <w:rsid w:val="00C57414"/>
    <w:rsid w:val="00C60E10"/>
    <w:rsid w:val="00C635FE"/>
    <w:rsid w:val="00C66163"/>
    <w:rsid w:val="00C66A30"/>
    <w:rsid w:val="00C702DD"/>
    <w:rsid w:val="00C72A94"/>
    <w:rsid w:val="00C7392C"/>
    <w:rsid w:val="00C74ADC"/>
    <w:rsid w:val="00C76506"/>
    <w:rsid w:val="00C77BCD"/>
    <w:rsid w:val="00C831CC"/>
    <w:rsid w:val="00C84FA5"/>
    <w:rsid w:val="00C91B4F"/>
    <w:rsid w:val="00C94D6F"/>
    <w:rsid w:val="00CB065C"/>
    <w:rsid w:val="00CB64E2"/>
    <w:rsid w:val="00CC04B1"/>
    <w:rsid w:val="00CC62B1"/>
    <w:rsid w:val="00CC6A9D"/>
    <w:rsid w:val="00CE1E6D"/>
    <w:rsid w:val="00CE2906"/>
    <w:rsid w:val="00CE2BBD"/>
    <w:rsid w:val="00CE3A94"/>
    <w:rsid w:val="00CE7A6A"/>
    <w:rsid w:val="00CF4CB2"/>
    <w:rsid w:val="00CF5D84"/>
    <w:rsid w:val="00CF68AF"/>
    <w:rsid w:val="00CF7AC9"/>
    <w:rsid w:val="00D04999"/>
    <w:rsid w:val="00D05541"/>
    <w:rsid w:val="00D0759B"/>
    <w:rsid w:val="00D07751"/>
    <w:rsid w:val="00D105CC"/>
    <w:rsid w:val="00D1096E"/>
    <w:rsid w:val="00D11D93"/>
    <w:rsid w:val="00D15398"/>
    <w:rsid w:val="00D24A4F"/>
    <w:rsid w:val="00D26506"/>
    <w:rsid w:val="00D26F48"/>
    <w:rsid w:val="00D315CC"/>
    <w:rsid w:val="00D31719"/>
    <w:rsid w:val="00D350C9"/>
    <w:rsid w:val="00D365A2"/>
    <w:rsid w:val="00D40B72"/>
    <w:rsid w:val="00D40BB5"/>
    <w:rsid w:val="00D43FE4"/>
    <w:rsid w:val="00D5536A"/>
    <w:rsid w:val="00D55BAA"/>
    <w:rsid w:val="00D5720E"/>
    <w:rsid w:val="00D65406"/>
    <w:rsid w:val="00D732B0"/>
    <w:rsid w:val="00D832D6"/>
    <w:rsid w:val="00DA7FCA"/>
    <w:rsid w:val="00DB065C"/>
    <w:rsid w:val="00DB1514"/>
    <w:rsid w:val="00DB2C54"/>
    <w:rsid w:val="00DB76AC"/>
    <w:rsid w:val="00DC1673"/>
    <w:rsid w:val="00DC77DD"/>
    <w:rsid w:val="00DC7B01"/>
    <w:rsid w:val="00DD02B0"/>
    <w:rsid w:val="00DD0FAB"/>
    <w:rsid w:val="00DD1F3C"/>
    <w:rsid w:val="00DD635A"/>
    <w:rsid w:val="00DD6C6F"/>
    <w:rsid w:val="00DF42E3"/>
    <w:rsid w:val="00DF43FC"/>
    <w:rsid w:val="00DF60E0"/>
    <w:rsid w:val="00DF72EE"/>
    <w:rsid w:val="00E00620"/>
    <w:rsid w:val="00E02FB7"/>
    <w:rsid w:val="00E038E0"/>
    <w:rsid w:val="00E05132"/>
    <w:rsid w:val="00E05C66"/>
    <w:rsid w:val="00E07B95"/>
    <w:rsid w:val="00E113A8"/>
    <w:rsid w:val="00E15EE0"/>
    <w:rsid w:val="00E17651"/>
    <w:rsid w:val="00E24C59"/>
    <w:rsid w:val="00E27DFB"/>
    <w:rsid w:val="00E30683"/>
    <w:rsid w:val="00E333DA"/>
    <w:rsid w:val="00E34DC7"/>
    <w:rsid w:val="00E368B7"/>
    <w:rsid w:val="00E374AE"/>
    <w:rsid w:val="00E401FF"/>
    <w:rsid w:val="00E43166"/>
    <w:rsid w:val="00E45C37"/>
    <w:rsid w:val="00E52854"/>
    <w:rsid w:val="00E538A5"/>
    <w:rsid w:val="00E562C1"/>
    <w:rsid w:val="00E56BAE"/>
    <w:rsid w:val="00E57102"/>
    <w:rsid w:val="00E637B1"/>
    <w:rsid w:val="00E64063"/>
    <w:rsid w:val="00E664CA"/>
    <w:rsid w:val="00E70A76"/>
    <w:rsid w:val="00E71636"/>
    <w:rsid w:val="00E71950"/>
    <w:rsid w:val="00E72176"/>
    <w:rsid w:val="00E72D22"/>
    <w:rsid w:val="00E86454"/>
    <w:rsid w:val="00E9436E"/>
    <w:rsid w:val="00E946A0"/>
    <w:rsid w:val="00E95831"/>
    <w:rsid w:val="00EA18D7"/>
    <w:rsid w:val="00EA2271"/>
    <w:rsid w:val="00EA3B61"/>
    <w:rsid w:val="00EA54C0"/>
    <w:rsid w:val="00EA5CF9"/>
    <w:rsid w:val="00EB050E"/>
    <w:rsid w:val="00EB6B9D"/>
    <w:rsid w:val="00EC1C0A"/>
    <w:rsid w:val="00EC2297"/>
    <w:rsid w:val="00EC33F5"/>
    <w:rsid w:val="00EC5A35"/>
    <w:rsid w:val="00EC5C63"/>
    <w:rsid w:val="00EC6AED"/>
    <w:rsid w:val="00ED1681"/>
    <w:rsid w:val="00ED1C4F"/>
    <w:rsid w:val="00ED2423"/>
    <w:rsid w:val="00ED3995"/>
    <w:rsid w:val="00ED3E34"/>
    <w:rsid w:val="00ED5D2F"/>
    <w:rsid w:val="00EE0741"/>
    <w:rsid w:val="00EE4E1C"/>
    <w:rsid w:val="00EE4E71"/>
    <w:rsid w:val="00EE78D8"/>
    <w:rsid w:val="00EF2FCA"/>
    <w:rsid w:val="00EF347F"/>
    <w:rsid w:val="00EF4059"/>
    <w:rsid w:val="00EF4DEF"/>
    <w:rsid w:val="00EF73EA"/>
    <w:rsid w:val="00F010EA"/>
    <w:rsid w:val="00F02E47"/>
    <w:rsid w:val="00F059D8"/>
    <w:rsid w:val="00F0694C"/>
    <w:rsid w:val="00F1353C"/>
    <w:rsid w:val="00F158E2"/>
    <w:rsid w:val="00F16DD2"/>
    <w:rsid w:val="00F211C5"/>
    <w:rsid w:val="00F2133A"/>
    <w:rsid w:val="00F30641"/>
    <w:rsid w:val="00F30CB6"/>
    <w:rsid w:val="00F32C98"/>
    <w:rsid w:val="00F32E61"/>
    <w:rsid w:val="00F36C1A"/>
    <w:rsid w:val="00F41B02"/>
    <w:rsid w:val="00F42EA7"/>
    <w:rsid w:val="00F54008"/>
    <w:rsid w:val="00F54DF9"/>
    <w:rsid w:val="00F57484"/>
    <w:rsid w:val="00F64F18"/>
    <w:rsid w:val="00F650F6"/>
    <w:rsid w:val="00F658AE"/>
    <w:rsid w:val="00F718DD"/>
    <w:rsid w:val="00F76BD7"/>
    <w:rsid w:val="00F845B8"/>
    <w:rsid w:val="00F966A5"/>
    <w:rsid w:val="00FA1474"/>
    <w:rsid w:val="00FA1E9A"/>
    <w:rsid w:val="00FA3B07"/>
    <w:rsid w:val="00FA64B4"/>
    <w:rsid w:val="00FB1BD5"/>
    <w:rsid w:val="00FB3CBF"/>
    <w:rsid w:val="00FB63A9"/>
    <w:rsid w:val="00FB6ACB"/>
    <w:rsid w:val="00FB7100"/>
    <w:rsid w:val="00FC1203"/>
    <w:rsid w:val="00FC1C3F"/>
    <w:rsid w:val="00FC3C05"/>
    <w:rsid w:val="00FC61F5"/>
    <w:rsid w:val="00FD198F"/>
    <w:rsid w:val="00FD29CE"/>
    <w:rsid w:val="00FD5B98"/>
    <w:rsid w:val="00FD64D9"/>
    <w:rsid w:val="00FE18DC"/>
    <w:rsid w:val="00FE447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2EC24"/>
  <w15:chartTrackingRefBased/>
  <w15:docId w15:val="{C2EF4C6F-881B-4337-9453-42E198B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2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9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4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185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4C35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Revisin">
    <w:name w:val="Revision"/>
    <w:hidden/>
    <w:uiPriority w:val="99"/>
    <w:semiHidden/>
    <w:rsid w:val="0090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E50F-00DF-432D-A17B-3E72A390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2851</Words>
  <Characters>15686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Guillermo Villarroel Lopez</cp:lastModifiedBy>
  <cp:revision>2</cp:revision>
  <cp:lastPrinted>2019-11-25T18:09:00Z</cp:lastPrinted>
  <dcterms:created xsi:type="dcterms:W3CDTF">2019-11-25T18:46:00Z</dcterms:created>
  <dcterms:modified xsi:type="dcterms:W3CDTF">2019-11-25T18:46:00Z</dcterms:modified>
</cp:coreProperties>
</file>