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7" w:rsidRDefault="00874A30" w:rsidP="00C94161">
      <w:pPr>
        <w:ind w:firstLine="4253"/>
        <w:rPr>
          <w:b/>
        </w:rPr>
      </w:pPr>
      <w:r>
        <w:rPr>
          <w:b/>
        </w:rPr>
        <w:tab/>
      </w:r>
    </w:p>
    <w:p w:rsidR="00C94161" w:rsidRDefault="00C94161" w:rsidP="00C94161">
      <w:pPr>
        <w:ind w:firstLine="4253"/>
        <w:rPr>
          <w:b/>
        </w:rPr>
      </w:pPr>
      <w:r>
        <w:rPr>
          <w:b/>
        </w:rPr>
        <w:t xml:space="preserve">RESOLUCIÓN EXENTA N° </w:t>
      </w:r>
    </w:p>
    <w:p w:rsidR="00C94161" w:rsidRDefault="00C94161" w:rsidP="00C94161">
      <w:pPr>
        <w:ind w:firstLine="4253"/>
        <w:rPr>
          <w:b/>
        </w:rPr>
      </w:pPr>
      <w:r>
        <w:rPr>
          <w:b/>
        </w:rPr>
        <w:t xml:space="preserve">VALPARAÍSO, </w:t>
      </w:r>
    </w:p>
    <w:p w:rsidR="00E31427" w:rsidRDefault="00E31427" w:rsidP="00C94161">
      <w:pPr>
        <w:ind w:firstLine="4253"/>
        <w:rPr>
          <w:b/>
        </w:rPr>
      </w:pPr>
    </w:p>
    <w:p w:rsidR="00A62397" w:rsidRDefault="00C94161" w:rsidP="0095412E">
      <w:pPr>
        <w:ind w:firstLine="4253"/>
        <w:jc w:val="both"/>
      </w:pPr>
      <w:r w:rsidRPr="00C94161">
        <w:rPr>
          <w:b/>
        </w:rPr>
        <w:t>VISTOS:</w:t>
      </w:r>
      <w:r>
        <w:t xml:space="preserve"> </w:t>
      </w:r>
      <w:r w:rsidR="00A62397">
        <w:t xml:space="preserve">El </w:t>
      </w:r>
      <w:r w:rsidR="0088363F">
        <w:t xml:space="preserve">Compendio de </w:t>
      </w:r>
      <w:r w:rsidR="00A62397">
        <w:t>Normas Aduaneras</w:t>
      </w:r>
      <w:r w:rsidR="0088363F">
        <w:t>,</w:t>
      </w:r>
      <w:r w:rsidR="00A62397">
        <w:t xml:space="preserve"> cuyo texto actualizado, sistematizado y coordinado fuera aprobado mediante la Resolución N° 1.300, de 14 de marzo de 2006, y publicado en el Diario Oficial el 30 de Marzo de 2006.</w:t>
      </w:r>
    </w:p>
    <w:p w:rsidR="001B1DE7" w:rsidRDefault="00A62397" w:rsidP="0095412E">
      <w:pPr>
        <w:ind w:firstLine="4253"/>
        <w:jc w:val="both"/>
      </w:pPr>
      <w:r>
        <w:t xml:space="preserve">El </w:t>
      </w:r>
      <w:r w:rsidR="0088363F">
        <w:t xml:space="preserve">Oficio </w:t>
      </w:r>
      <w:r w:rsidR="00376E6F">
        <w:t xml:space="preserve">Circular </w:t>
      </w:r>
      <w:r w:rsidR="001B1DE7">
        <w:t xml:space="preserve">N° </w:t>
      </w:r>
      <w:r w:rsidR="0088363F">
        <w:t xml:space="preserve">450 </w:t>
      </w:r>
      <w:r>
        <w:t xml:space="preserve">de </w:t>
      </w:r>
      <w:r w:rsidR="0088363F">
        <w:t>04</w:t>
      </w:r>
      <w:r w:rsidR="001B1DE7">
        <w:t xml:space="preserve"> de Septiembre de 20</w:t>
      </w:r>
      <w:r w:rsidR="0088363F">
        <w:t>18</w:t>
      </w:r>
      <w:r>
        <w:t xml:space="preserve"> de la Subdirección Técnica de esta Dirección Nacional, </w:t>
      </w:r>
      <w:r w:rsidR="006172BA">
        <w:t xml:space="preserve">que informa y autoriza sobre el uso de etiquetas autoadhesivas para la </w:t>
      </w:r>
      <w:r w:rsidR="001B1DE7">
        <w:t xml:space="preserve">modificación </w:t>
      </w:r>
      <w:r w:rsidR="006172BA">
        <w:t>de conoc</w:t>
      </w:r>
      <w:r w:rsidR="001B1DE7">
        <w:t>imientos de embarque.</w:t>
      </w:r>
    </w:p>
    <w:p w:rsidR="00360090" w:rsidRDefault="00360090" w:rsidP="00360090">
      <w:pPr>
        <w:ind w:firstLine="4253"/>
        <w:jc w:val="both"/>
      </w:pPr>
      <w:r>
        <w:t xml:space="preserve">La carta de la empresa </w:t>
      </w:r>
      <w:proofErr w:type="spellStart"/>
      <w:r>
        <w:t>Kuehne</w:t>
      </w:r>
      <w:proofErr w:type="spellEnd"/>
      <w:r>
        <w:t xml:space="preserve"> &amp; </w:t>
      </w:r>
      <w:proofErr w:type="spellStart"/>
      <w:r>
        <w:t>Nagel</w:t>
      </w:r>
      <w:proofErr w:type="spellEnd"/>
      <w:r>
        <w:t xml:space="preserve"> Ltda. N° 21.629 del 25</w:t>
      </w:r>
      <w:r w:rsidR="00CB6FE4">
        <w:t xml:space="preserve"> </w:t>
      </w:r>
      <w:bookmarkStart w:id="0" w:name="_GoBack"/>
      <w:bookmarkEnd w:id="0"/>
      <w:r>
        <w:t>de Abril de 2019, mediante la cual solicitó la i</w:t>
      </w:r>
      <w:r w:rsidR="00B77AB4">
        <w:t>mplementación de un</w:t>
      </w:r>
      <w:r>
        <w:t xml:space="preserve"> anexo de corrección conocimiento de embarque, considerando est</w:t>
      </w:r>
      <w:r w:rsidR="00B77AB4">
        <w:t>e</w:t>
      </w:r>
      <w:r>
        <w:t xml:space="preserve"> anexo como parte integrante del B/L original   respectivo.</w:t>
      </w:r>
    </w:p>
    <w:p w:rsidR="00376E6F" w:rsidRDefault="00376E6F" w:rsidP="0095412E">
      <w:pPr>
        <w:ind w:firstLine="4253"/>
        <w:jc w:val="both"/>
      </w:pPr>
      <w:r>
        <w:t xml:space="preserve">Los Oficios Ordinarios N° 12.618 de 18 Octubre de 2019 y N° </w:t>
      </w:r>
      <w:r w:rsidR="00360090">
        <w:t>8.128 de 08 de Julio de 2019 de las Subdirección Jurídica y Subdirección de Fiscalización respectivamente, en donde aprueban el uso de un anexo de conocimiento de embarque para las modificaciones del mismo.</w:t>
      </w:r>
    </w:p>
    <w:p w:rsidR="0088363F" w:rsidRDefault="0088363F" w:rsidP="0088363F"/>
    <w:p w:rsidR="0095412E" w:rsidRDefault="00C94161" w:rsidP="00360090">
      <w:pPr>
        <w:ind w:firstLine="4253"/>
        <w:jc w:val="both"/>
      </w:pPr>
      <w:r w:rsidRPr="00C94161">
        <w:rPr>
          <w:b/>
        </w:rPr>
        <w:t>CONSIDERANDO:</w:t>
      </w:r>
      <w:r>
        <w:t xml:space="preserve"> Que</w:t>
      </w:r>
      <w:r w:rsidR="00752ADB">
        <w:t>,</w:t>
      </w:r>
      <w:r>
        <w:t xml:space="preserve"> </w:t>
      </w:r>
      <w:r w:rsidR="00360090">
        <w:t>es necesario incorporar dichas instrucciones en el Compendio de Normas Aduaneras, y</w:t>
      </w:r>
    </w:p>
    <w:p w:rsidR="0095412E" w:rsidRDefault="0095412E" w:rsidP="00202AD5">
      <w:pPr>
        <w:jc w:val="both"/>
      </w:pPr>
    </w:p>
    <w:p w:rsidR="003D56E9" w:rsidRDefault="00C94161" w:rsidP="00E31427">
      <w:pPr>
        <w:ind w:firstLine="4253"/>
        <w:jc w:val="both"/>
      </w:pPr>
      <w:r w:rsidRPr="0095412E">
        <w:rPr>
          <w:b/>
        </w:rPr>
        <w:t>TENIENDO PRESENTE:</w:t>
      </w:r>
      <w:r>
        <w:t xml:space="preserve"> </w:t>
      </w:r>
      <w:r w:rsidR="003D56E9">
        <w:t xml:space="preserve">Estos antecedentes y lo dispuesto en el artículo 4°, números 7 y 8 del D.F.L. N°329/1979 del Ministerio de Hacienda, Ley Orgánica del Servicio Nacional de Aduanas y la Resolución N° 1600 de 2008 de la Contraloría </w:t>
      </w:r>
      <w:r w:rsidR="008116B7">
        <w:t>General</w:t>
      </w:r>
      <w:r w:rsidR="003D56E9">
        <w:t xml:space="preserve"> de la Repúb</w:t>
      </w:r>
      <w:r w:rsidR="008116B7">
        <w:t>lica, sobre exención del trámite de Toma de Razón, dicto la siguiente:</w:t>
      </w:r>
    </w:p>
    <w:p w:rsidR="008116B7" w:rsidRDefault="008116B7" w:rsidP="00E31427">
      <w:pPr>
        <w:ind w:firstLine="4253"/>
        <w:jc w:val="both"/>
      </w:pPr>
    </w:p>
    <w:p w:rsidR="00056A89" w:rsidRDefault="00056A89" w:rsidP="00C94161">
      <w:pPr>
        <w:ind w:firstLine="4253"/>
        <w:rPr>
          <w:b/>
        </w:rPr>
      </w:pPr>
      <w:r w:rsidRPr="00056A89">
        <w:rPr>
          <w:b/>
        </w:rPr>
        <w:t>RESOLUCIÓN:</w:t>
      </w:r>
    </w:p>
    <w:p w:rsidR="00056A89" w:rsidRDefault="00056A89" w:rsidP="00C94161">
      <w:pPr>
        <w:ind w:firstLine="4253"/>
        <w:rPr>
          <w:b/>
        </w:rPr>
      </w:pPr>
    </w:p>
    <w:p w:rsidR="00DB1ABE" w:rsidRDefault="00056A89" w:rsidP="00E31427">
      <w:pPr>
        <w:jc w:val="both"/>
      </w:pPr>
      <w:r w:rsidRPr="00056A89">
        <w:rPr>
          <w:b/>
        </w:rPr>
        <w:t>1.</w:t>
      </w:r>
      <w:r>
        <w:rPr>
          <w:b/>
        </w:rPr>
        <w:t xml:space="preserve"> </w:t>
      </w:r>
      <w:r w:rsidR="00360090">
        <w:rPr>
          <w:b/>
        </w:rPr>
        <w:t>Incorpórese</w:t>
      </w:r>
      <w:r w:rsidR="00A21EFC">
        <w:rPr>
          <w:b/>
        </w:rPr>
        <w:t xml:space="preserve">, </w:t>
      </w:r>
      <w:r w:rsidR="00A21EFC" w:rsidRPr="00A21EFC">
        <w:t>como</w:t>
      </w:r>
      <w:r w:rsidR="00A21EFC">
        <w:rPr>
          <w:b/>
        </w:rPr>
        <w:t xml:space="preserve"> </w:t>
      </w:r>
      <w:r w:rsidR="00A21EFC" w:rsidRPr="00A21EFC">
        <w:t>párrafo</w:t>
      </w:r>
      <w:r w:rsidR="00A21EFC">
        <w:t xml:space="preserve"> 10 a</w:t>
      </w:r>
      <w:r w:rsidR="00360090">
        <w:t xml:space="preserve">l numeral 10.1 letra a) </w:t>
      </w:r>
      <w:r w:rsidR="00DB1ABE">
        <w:t>del Capítulo III del Compendio de Normas Aduaneras lo siguiente:</w:t>
      </w:r>
    </w:p>
    <w:p w:rsidR="00DF3592" w:rsidRDefault="00A21EFC" w:rsidP="00DB1ABE">
      <w:pPr>
        <w:jc w:val="both"/>
      </w:pPr>
      <w:r>
        <w:lastRenderedPageBreak/>
        <w:t>“</w:t>
      </w:r>
      <w:r w:rsidR="00DB1ABE" w:rsidRPr="00DB1ABE">
        <w:t>Como</w:t>
      </w:r>
      <w:r w:rsidR="00DB1ABE">
        <w:t xml:space="preserve"> alternativa al procedimiento descrito anteriormente, también se podrán modificar mediante el </w:t>
      </w:r>
      <w:r w:rsidR="00DF3592">
        <w:t>sistema</w:t>
      </w:r>
      <w:r w:rsidR="00DB1ABE">
        <w:t xml:space="preserve"> de etiquetas autoadhesivas</w:t>
      </w:r>
      <w:r w:rsidR="00DF3592">
        <w:t>, en la medida que la etiqueta correspondiente no haga perder información relevante del documento de transporte y que en ellas se señale la fecha, nombre y firma de la persona autorizada por el emisor de documento de transporte para efectuar estas modificaciones.</w:t>
      </w:r>
    </w:p>
    <w:p w:rsidR="00DF3592" w:rsidRDefault="00DF3592" w:rsidP="00DF3592">
      <w:pPr>
        <w:jc w:val="both"/>
      </w:pPr>
      <w:r>
        <w:t>Asimismo, también se podrá</w:t>
      </w:r>
      <w:r w:rsidR="002A7859">
        <w:t>n</w:t>
      </w:r>
      <w:r>
        <w:t xml:space="preserve"> realizar las modificaciones al documento de transporte original </w:t>
      </w:r>
      <w:r w:rsidRPr="00DF3592">
        <w:t xml:space="preserve">a través de un documento que llevará por título “Anexo de corrección de B/L”, </w:t>
      </w:r>
      <w:r w:rsidR="00B77AB4">
        <w:t>en el que se deberá</w:t>
      </w:r>
      <w:r w:rsidRPr="00DF3592">
        <w:t xml:space="preserve"> indicar el número de conocimiento de embarque al cual pertenece.</w:t>
      </w:r>
      <w:r w:rsidR="00A21EFC">
        <w:t xml:space="preserve"> El anexo de corrección del conocimiento de embarque deberá </w:t>
      </w:r>
      <w:r w:rsidR="00A21EFC" w:rsidRPr="00A21EFC">
        <w:t>dejar claramente establecido lo que se modifica, de</w:t>
      </w:r>
      <w:r w:rsidR="00B77AB4">
        <w:t xml:space="preserve"> la forma</w:t>
      </w:r>
      <w:r w:rsidR="00A21EFC" w:rsidRPr="00A21EFC">
        <w:t xml:space="preserve"> </w:t>
      </w:r>
      <w:r w:rsidR="00B77AB4">
        <w:t>DONDE DICE..., DEBE DECIR;</w:t>
      </w:r>
      <w:r w:rsidR="00A21EFC">
        <w:t xml:space="preserve"> además se deberá </w:t>
      </w:r>
      <w:r w:rsidR="00A21EFC" w:rsidRPr="00A21EFC">
        <w:t xml:space="preserve">dejar estampado en </w:t>
      </w:r>
      <w:r w:rsidR="0025057F">
        <w:t xml:space="preserve">el documento anexo, el nombre, </w:t>
      </w:r>
      <w:r w:rsidR="00A21EFC" w:rsidRPr="00A21EFC">
        <w:t xml:space="preserve"> Rut y firma de la persona que efectúa la </w:t>
      </w:r>
      <w:r w:rsidR="002A7859">
        <w:t>modificación</w:t>
      </w:r>
      <w:r w:rsidR="00A21EFC">
        <w:t xml:space="preserve">. </w:t>
      </w:r>
      <w:r w:rsidRPr="00DF3592">
        <w:t xml:space="preserve">Esta </w:t>
      </w:r>
      <w:r w:rsidR="00B77AB4">
        <w:t>hoja se considerará como parte í</w:t>
      </w:r>
      <w:r w:rsidRPr="00DF3592">
        <w:t>ntegra del B/L original respectivo, y como tal, se deberá mantener adjunto a dicho B/L para todos los trámites posteriores, sea canje, despacho, aforo, custodia y cualquier otro requerimiento aduanero según normativa vigente.</w:t>
      </w:r>
      <w:r w:rsidR="00A21EFC">
        <w:t xml:space="preserve">” </w:t>
      </w:r>
    </w:p>
    <w:p w:rsidR="00B77AB4" w:rsidRPr="00DF3592" w:rsidRDefault="00B77AB4" w:rsidP="00DF3592">
      <w:pPr>
        <w:jc w:val="both"/>
      </w:pPr>
      <w:r w:rsidRPr="00B77AB4">
        <w:rPr>
          <w:b/>
        </w:rPr>
        <w:t>2.</w:t>
      </w:r>
      <w:r>
        <w:t xml:space="preserve"> Estas instrucciones entrarán en vigencia a partir de la fecha de publicación de esta R</w:t>
      </w:r>
      <w:r w:rsidR="0025057F">
        <w:t>esolución en el D</w:t>
      </w:r>
      <w:r>
        <w:t>iario Oficial.</w:t>
      </w:r>
    </w:p>
    <w:p w:rsidR="009D1CD2" w:rsidRPr="00DB1ABE" w:rsidRDefault="00DF3592" w:rsidP="00DB1ABE">
      <w:pPr>
        <w:jc w:val="both"/>
      </w:pPr>
      <w:r>
        <w:t xml:space="preserve">  </w:t>
      </w:r>
      <w:r w:rsidR="00DB1ABE">
        <w:t xml:space="preserve"> </w:t>
      </w:r>
    </w:p>
    <w:p w:rsidR="00E31427" w:rsidRDefault="00E31427" w:rsidP="009D1CD2">
      <w:pPr>
        <w:ind w:left="708"/>
        <w:jc w:val="both"/>
      </w:pPr>
    </w:p>
    <w:p w:rsidR="00F469F9" w:rsidRDefault="009D1CD2" w:rsidP="00056A89">
      <w:pPr>
        <w:rPr>
          <w:b/>
        </w:rPr>
      </w:pPr>
      <w:r w:rsidRPr="009D1CD2">
        <w:rPr>
          <w:b/>
        </w:rPr>
        <w:t xml:space="preserve">ANÓTESE, COMUNÍQUESE Y PUBLÍQUESE EN </w:t>
      </w:r>
      <w:r w:rsidR="00A21EFC">
        <w:rPr>
          <w:b/>
        </w:rPr>
        <w:t xml:space="preserve">EXTRACTO EN EL </w:t>
      </w:r>
      <w:r w:rsidR="00A21EFC" w:rsidRPr="009D1CD2">
        <w:rPr>
          <w:b/>
        </w:rPr>
        <w:t xml:space="preserve"> </w:t>
      </w:r>
      <w:r w:rsidR="00A21EFC">
        <w:rPr>
          <w:b/>
        </w:rPr>
        <w:t xml:space="preserve">DIARIO OFICIAL E ÍNTEGRAMENTE </w:t>
      </w:r>
      <w:r w:rsidRPr="009D1CD2">
        <w:rPr>
          <w:b/>
        </w:rPr>
        <w:t>EN LA PÁGINA WEB DEL SERVICIO</w:t>
      </w:r>
      <w:r w:rsidR="00A21EFC">
        <w:rPr>
          <w:b/>
        </w:rPr>
        <w:t xml:space="preserve"> NACIONAL DE ADUANAS</w:t>
      </w:r>
      <w:r w:rsidR="00E31427">
        <w:rPr>
          <w:b/>
        </w:rPr>
        <w:t>.</w:t>
      </w: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F469F9" w:rsidRDefault="00F469F9" w:rsidP="00056A89">
      <w:pPr>
        <w:rPr>
          <w:b/>
        </w:rPr>
      </w:pPr>
    </w:p>
    <w:p w:rsidR="00E31427" w:rsidRPr="00FC3451" w:rsidRDefault="00F469F9" w:rsidP="00056A89">
      <w:pPr>
        <w:rPr>
          <w:b/>
        </w:rPr>
      </w:pPr>
      <w:r w:rsidRPr="00FC3451">
        <w:rPr>
          <w:b/>
        </w:rPr>
        <w:t xml:space="preserve">GLH/KCI/PSS/CIC </w:t>
      </w:r>
    </w:p>
    <w:p w:rsidR="00A21EFC" w:rsidRPr="009D1CD2" w:rsidRDefault="00A21EFC" w:rsidP="00056A89">
      <w:pPr>
        <w:rPr>
          <w:b/>
        </w:rPr>
      </w:pPr>
    </w:p>
    <w:sectPr w:rsidR="00A21EFC" w:rsidRPr="009D1CD2" w:rsidSect="00F82502">
      <w:headerReference w:type="default" r:id="rId7"/>
      <w:footerReference w:type="default" r:id="rId8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EA" w:rsidRDefault="002F0FEA" w:rsidP="00C94161">
      <w:pPr>
        <w:spacing w:after="0" w:line="240" w:lineRule="auto"/>
      </w:pPr>
      <w:r>
        <w:separator/>
      </w:r>
    </w:p>
  </w:endnote>
  <w:endnote w:type="continuationSeparator" w:id="0">
    <w:p w:rsidR="002F0FEA" w:rsidRDefault="002F0FEA" w:rsidP="00C9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02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</w:p>
  <w:p w:rsidR="00F82502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160817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185C519F" wp14:editId="28B40C37">
          <wp:simplePos x="0" y="0"/>
          <wp:positionH relativeFrom="margin">
            <wp:posOffset>0</wp:posOffset>
          </wp:positionH>
          <wp:positionV relativeFrom="paragraph">
            <wp:posOffset>103175</wp:posOffset>
          </wp:positionV>
          <wp:extent cx="700405" cy="700405"/>
          <wp:effectExtent l="0" t="0" r="4445" b="4445"/>
          <wp:wrapNone/>
          <wp:docPr id="6" name="Picture 2" descr="vineta_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eta_inf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634549">
      <w:rPr>
        <w:rFonts w:ascii="Tahoma" w:hAnsi="Tahoma" w:cs="Tahoma"/>
        <w:color w:val="000000" w:themeColor="text1"/>
        <w:sz w:val="16"/>
        <w:szCs w:val="18"/>
      </w:rPr>
      <w:t>Servicio Nacional de Aduanas, Chile</w:t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634549">
      <w:rPr>
        <w:rFonts w:ascii="Tahoma" w:hAnsi="Tahoma" w:cs="Tahoma"/>
        <w:color w:val="000000" w:themeColor="text1"/>
        <w:sz w:val="16"/>
        <w:szCs w:val="18"/>
      </w:rPr>
      <w:t xml:space="preserve">Plaza Sotomayor Nº 60, </w:t>
    </w:r>
    <w:r w:rsidRPr="00634549">
      <w:rPr>
        <w:rFonts w:ascii="Tahoma" w:hAnsi="Tahoma" w:cs="Tahoma"/>
        <w:color w:val="000000" w:themeColor="text1"/>
        <w:sz w:val="16"/>
        <w:szCs w:val="18"/>
      </w:rPr>
      <w:br/>
      <w:t>Valparaíso / Chile</w:t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</w:rPr>
    </w:pPr>
    <w:r>
      <w:rPr>
        <w:rFonts w:ascii="Tahoma" w:hAnsi="Tahoma" w:cs="Tahoma"/>
        <w:color w:val="000000" w:themeColor="text1"/>
        <w:sz w:val="16"/>
        <w:szCs w:val="18"/>
      </w:rPr>
      <w:t>Teléfono (32) 2134571</w:t>
    </w:r>
  </w:p>
  <w:p w:rsidR="00F82502" w:rsidRDefault="00F82502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EA" w:rsidRDefault="002F0FEA" w:rsidP="00C94161">
      <w:pPr>
        <w:spacing w:after="0" w:line="240" w:lineRule="auto"/>
      </w:pPr>
      <w:r>
        <w:separator/>
      </w:r>
    </w:p>
  </w:footnote>
  <w:footnote w:type="continuationSeparator" w:id="0">
    <w:p w:rsidR="002F0FEA" w:rsidRDefault="002F0FEA" w:rsidP="00C9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61" w:rsidRDefault="00C94161" w:rsidP="00C94161">
    <w:pPr>
      <w:ind w:left="708" w:firstLine="708"/>
      <w:jc w:val="both"/>
      <w:rPr>
        <w:rFonts w:ascii="Tahoma" w:eastAsia="SimSun" w:hAnsi="Tahoma" w:cs="Tahoma"/>
        <w:sz w:val="16"/>
      </w:rPr>
    </w:pPr>
    <w:r w:rsidRPr="0016081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B7159CB" wp14:editId="168E658A">
          <wp:simplePos x="0" y="0"/>
          <wp:positionH relativeFrom="column">
            <wp:posOffset>-268148</wp:posOffset>
          </wp:positionH>
          <wp:positionV relativeFrom="paragraph">
            <wp:posOffset>11278</wp:posOffset>
          </wp:positionV>
          <wp:extent cx="680313" cy="680313"/>
          <wp:effectExtent l="0" t="0" r="5715" b="5715"/>
          <wp:wrapNone/>
          <wp:docPr id="2" name="Picture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90" cy="6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161" w:rsidRDefault="00C94161" w:rsidP="00C94161">
    <w:pPr>
      <w:ind w:left="708" w:firstLine="708"/>
      <w:jc w:val="both"/>
      <w:rPr>
        <w:rFonts w:ascii="Tahoma" w:eastAsia="SimSun" w:hAnsi="Tahoma" w:cs="Tahoma"/>
        <w:sz w:val="16"/>
      </w:rPr>
    </w:pPr>
  </w:p>
  <w:p w:rsidR="00C94161" w:rsidRPr="000760BF" w:rsidRDefault="00C94161" w:rsidP="00F82502">
    <w:pPr>
      <w:tabs>
        <w:tab w:val="left" w:pos="3686"/>
      </w:tabs>
      <w:spacing w:after="0" w:line="240" w:lineRule="auto"/>
      <w:ind w:left="709"/>
      <w:jc w:val="both"/>
      <w:rPr>
        <w:rFonts w:ascii="Tahoma" w:eastAsia="SimSun" w:hAnsi="Tahoma" w:cs="Tahoma"/>
        <w:sz w:val="16"/>
      </w:rPr>
    </w:pPr>
    <w:r w:rsidRPr="000760BF">
      <w:rPr>
        <w:rFonts w:ascii="Tahoma" w:eastAsia="SimSun" w:hAnsi="Tahoma" w:cs="Tahoma"/>
        <w:sz w:val="16"/>
      </w:rPr>
      <w:t>SUBDIRECCIÓN TÉCNICA.</w:t>
    </w:r>
    <w:r>
      <w:rPr>
        <w:rFonts w:ascii="Tahoma" w:eastAsia="SimSun" w:hAnsi="Tahoma" w:cs="Tahoma"/>
        <w:sz w:val="16"/>
      </w:rPr>
      <w:tab/>
    </w:r>
  </w:p>
  <w:p w:rsidR="00C94161" w:rsidRPr="000760BF" w:rsidRDefault="00C94161" w:rsidP="00F82502">
    <w:pPr>
      <w:spacing w:after="0" w:line="240" w:lineRule="auto"/>
      <w:ind w:left="709"/>
      <w:jc w:val="both"/>
      <w:rPr>
        <w:sz w:val="20"/>
      </w:rPr>
    </w:pPr>
    <w:r w:rsidRPr="000760BF">
      <w:rPr>
        <w:rFonts w:ascii="Tahoma" w:eastAsia="SimSun" w:hAnsi="Tahoma" w:cs="Tahoma"/>
        <w:sz w:val="16"/>
      </w:rPr>
      <w:t>DEPTO. DE PROCESOS Y NORMAS ADUANERAS</w:t>
    </w:r>
    <w:r w:rsidRPr="000760BF">
      <w:rPr>
        <w:rFonts w:ascii="Tahoma" w:eastAsia="SimSun" w:hAnsi="Tahoma" w:cs="Tahoma"/>
        <w:b/>
        <w:sz w:val="16"/>
      </w:rPr>
      <w:t>.</w:t>
    </w:r>
  </w:p>
  <w:p w:rsidR="00C94161" w:rsidRDefault="00C941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4441"/>
    <w:multiLevelType w:val="hybridMultilevel"/>
    <w:tmpl w:val="758E4EE6"/>
    <w:lvl w:ilvl="0" w:tplc="BE3A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61"/>
    <w:rsid w:val="00016907"/>
    <w:rsid w:val="00056A89"/>
    <w:rsid w:val="001B1DE7"/>
    <w:rsid w:val="001F6991"/>
    <w:rsid w:val="00202AD5"/>
    <w:rsid w:val="00246299"/>
    <w:rsid w:val="0025057F"/>
    <w:rsid w:val="002A7859"/>
    <w:rsid w:val="002F0FEA"/>
    <w:rsid w:val="00360090"/>
    <w:rsid w:val="00376E6F"/>
    <w:rsid w:val="003D56E9"/>
    <w:rsid w:val="00435C56"/>
    <w:rsid w:val="004D332D"/>
    <w:rsid w:val="00573273"/>
    <w:rsid w:val="00585A2C"/>
    <w:rsid w:val="005C4C55"/>
    <w:rsid w:val="006172BA"/>
    <w:rsid w:val="0063727E"/>
    <w:rsid w:val="006B1FC7"/>
    <w:rsid w:val="00752ADB"/>
    <w:rsid w:val="007C79BE"/>
    <w:rsid w:val="008116B7"/>
    <w:rsid w:val="00847F57"/>
    <w:rsid w:val="00874A30"/>
    <w:rsid w:val="0088363F"/>
    <w:rsid w:val="0095412E"/>
    <w:rsid w:val="009A0B2F"/>
    <w:rsid w:val="009D1CD2"/>
    <w:rsid w:val="00A21EFC"/>
    <w:rsid w:val="00A606C4"/>
    <w:rsid w:val="00A62397"/>
    <w:rsid w:val="00AF319B"/>
    <w:rsid w:val="00B77AB4"/>
    <w:rsid w:val="00C17329"/>
    <w:rsid w:val="00C87CDD"/>
    <w:rsid w:val="00C94161"/>
    <w:rsid w:val="00CB6FE4"/>
    <w:rsid w:val="00D6074D"/>
    <w:rsid w:val="00DB1ABE"/>
    <w:rsid w:val="00DF059A"/>
    <w:rsid w:val="00DF3592"/>
    <w:rsid w:val="00E31427"/>
    <w:rsid w:val="00F469F9"/>
    <w:rsid w:val="00F82502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9367F92-EE19-4DAB-8659-DB0040A3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61"/>
  </w:style>
  <w:style w:type="paragraph" w:styleId="Piedepgina">
    <w:name w:val="footer"/>
    <w:basedOn w:val="Normal"/>
    <w:link w:val="PiedepginaCar"/>
    <w:uiPriority w:val="99"/>
    <w:unhideWhenUsed/>
    <w:rsid w:val="00C94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61"/>
  </w:style>
  <w:style w:type="paragraph" w:styleId="Prrafodelista">
    <w:name w:val="List Paragraph"/>
    <w:basedOn w:val="Normal"/>
    <w:uiPriority w:val="34"/>
    <w:qFormat/>
    <w:rsid w:val="0005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Isla Sanchez</dc:creator>
  <cp:keywords/>
  <dc:description/>
  <cp:lastModifiedBy>CIC</cp:lastModifiedBy>
  <cp:revision>8</cp:revision>
  <cp:lastPrinted>2019-12-26T11:45:00Z</cp:lastPrinted>
  <dcterms:created xsi:type="dcterms:W3CDTF">2019-12-10T13:36:00Z</dcterms:created>
  <dcterms:modified xsi:type="dcterms:W3CDTF">2019-12-26T11:47:00Z</dcterms:modified>
</cp:coreProperties>
</file>