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494" w:rsidRPr="00F62ECD" w:rsidRDefault="003A7A30" w:rsidP="003C4732">
      <w:pPr>
        <w:spacing w:line="276" w:lineRule="auto"/>
        <w:ind w:left="4248" w:hanging="4248"/>
        <w:outlineLvl w:val="0"/>
        <w:rPr>
          <w:rFonts w:ascii="Tahoma" w:hAnsi="Tahoma" w:cs="Tahoma"/>
          <w:b/>
          <w:sz w:val="22"/>
          <w:szCs w:val="22"/>
        </w:rPr>
      </w:pPr>
      <w:r w:rsidRPr="00F62ECD">
        <w:rPr>
          <w:rFonts w:ascii="Tahoma" w:hAnsi="Tahoma" w:cs="Tahoma"/>
          <w:b/>
          <w:sz w:val="22"/>
          <w:szCs w:val="22"/>
          <w:lang w:val="es-CL"/>
        </w:rPr>
        <w:softHyphen/>
      </w:r>
      <w:r w:rsidR="00F83604" w:rsidRPr="00F62ECD">
        <w:rPr>
          <w:rFonts w:ascii="Tahoma" w:hAnsi="Tahoma" w:cs="Tahoma"/>
          <w:b/>
          <w:sz w:val="22"/>
          <w:szCs w:val="22"/>
        </w:rPr>
        <w:t xml:space="preserve">RESOLUCIÓN EXENTA </w:t>
      </w:r>
      <w:r w:rsidR="00D21E23" w:rsidRPr="00F62ECD">
        <w:rPr>
          <w:rFonts w:ascii="Tahoma" w:hAnsi="Tahoma" w:cs="Tahoma"/>
          <w:b/>
          <w:sz w:val="22"/>
          <w:szCs w:val="22"/>
        </w:rPr>
        <w:t>Nº</w:t>
      </w:r>
    </w:p>
    <w:p w:rsidR="006568E4" w:rsidRPr="00F62ECD" w:rsidRDefault="006568E4" w:rsidP="009A7C21">
      <w:pPr>
        <w:spacing w:line="276" w:lineRule="auto"/>
        <w:jc w:val="both"/>
        <w:rPr>
          <w:rFonts w:ascii="Tahoma" w:hAnsi="Tahoma" w:cs="Tahoma"/>
          <w:sz w:val="22"/>
          <w:szCs w:val="22"/>
        </w:rPr>
      </w:pPr>
    </w:p>
    <w:p w:rsidR="004A63B0" w:rsidRPr="00F62ECD" w:rsidRDefault="004A63B0" w:rsidP="009A7C21">
      <w:pPr>
        <w:spacing w:line="276" w:lineRule="auto"/>
        <w:jc w:val="both"/>
        <w:rPr>
          <w:rFonts w:ascii="Tahoma" w:hAnsi="Tahoma" w:cs="Tahoma"/>
          <w:sz w:val="22"/>
          <w:szCs w:val="22"/>
        </w:rPr>
      </w:pPr>
    </w:p>
    <w:p w:rsidR="006A50B4" w:rsidRPr="00F62ECD" w:rsidRDefault="006A50B4" w:rsidP="009A7C21">
      <w:pPr>
        <w:spacing w:line="276" w:lineRule="auto"/>
        <w:jc w:val="both"/>
        <w:rPr>
          <w:rFonts w:ascii="Tahoma" w:hAnsi="Tahoma" w:cs="Tahoma"/>
          <w:sz w:val="22"/>
          <w:szCs w:val="22"/>
        </w:rPr>
      </w:pPr>
    </w:p>
    <w:p w:rsidR="006A50B4" w:rsidRPr="00F62ECD" w:rsidRDefault="006A50B4" w:rsidP="009A7C21">
      <w:pPr>
        <w:spacing w:line="276" w:lineRule="auto"/>
        <w:jc w:val="both"/>
        <w:rPr>
          <w:rFonts w:ascii="Tahoma" w:hAnsi="Tahoma" w:cs="Tahoma"/>
          <w:sz w:val="22"/>
          <w:szCs w:val="22"/>
        </w:rPr>
      </w:pPr>
    </w:p>
    <w:p w:rsidR="00F83604" w:rsidRPr="00F62ECD" w:rsidRDefault="00F83604" w:rsidP="009A7C21">
      <w:pPr>
        <w:spacing w:line="276" w:lineRule="auto"/>
        <w:jc w:val="both"/>
        <w:rPr>
          <w:rFonts w:ascii="Tahoma" w:hAnsi="Tahoma" w:cs="Tahoma"/>
          <w:b/>
          <w:sz w:val="22"/>
          <w:szCs w:val="22"/>
        </w:rPr>
      </w:pPr>
      <w:r w:rsidRPr="00F62ECD">
        <w:rPr>
          <w:rFonts w:ascii="Tahoma" w:hAnsi="Tahoma" w:cs="Tahoma"/>
          <w:b/>
          <w:sz w:val="22"/>
          <w:szCs w:val="22"/>
        </w:rPr>
        <w:t>Valparaíso,</w:t>
      </w:r>
    </w:p>
    <w:p w:rsidR="00F83604" w:rsidRPr="00F62ECD" w:rsidRDefault="00F83604" w:rsidP="009A7C21">
      <w:pPr>
        <w:spacing w:line="276" w:lineRule="auto"/>
        <w:jc w:val="both"/>
        <w:rPr>
          <w:rFonts w:ascii="Tahoma" w:hAnsi="Tahoma" w:cs="Tahoma"/>
          <w:b/>
          <w:sz w:val="22"/>
          <w:szCs w:val="22"/>
        </w:rPr>
      </w:pPr>
    </w:p>
    <w:p w:rsidR="006A50B4" w:rsidRPr="00F62ECD" w:rsidRDefault="006A50B4" w:rsidP="009A7C21">
      <w:pPr>
        <w:spacing w:line="276" w:lineRule="auto"/>
        <w:jc w:val="both"/>
        <w:rPr>
          <w:rFonts w:ascii="Tahoma" w:hAnsi="Tahoma" w:cs="Tahoma"/>
          <w:b/>
          <w:sz w:val="22"/>
          <w:szCs w:val="22"/>
        </w:rPr>
      </w:pPr>
    </w:p>
    <w:p w:rsidR="006A50B4" w:rsidRPr="00F62ECD" w:rsidRDefault="006A50B4" w:rsidP="009A7C21">
      <w:pPr>
        <w:spacing w:line="276" w:lineRule="auto"/>
        <w:jc w:val="both"/>
        <w:rPr>
          <w:rFonts w:ascii="Tahoma" w:hAnsi="Tahoma" w:cs="Tahoma"/>
          <w:b/>
          <w:sz w:val="22"/>
          <w:szCs w:val="22"/>
        </w:rPr>
      </w:pPr>
    </w:p>
    <w:p w:rsidR="00EA32AB" w:rsidRPr="00F62ECD" w:rsidRDefault="00EA32AB" w:rsidP="009A7C21">
      <w:pPr>
        <w:spacing w:line="276" w:lineRule="auto"/>
        <w:jc w:val="both"/>
        <w:rPr>
          <w:rFonts w:ascii="Tahoma" w:hAnsi="Tahoma" w:cs="Tahoma"/>
          <w:b/>
          <w:sz w:val="22"/>
          <w:szCs w:val="22"/>
        </w:rPr>
      </w:pPr>
    </w:p>
    <w:p w:rsidR="00F31589" w:rsidRPr="00F62ECD" w:rsidRDefault="00F31589" w:rsidP="009A7C21">
      <w:pPr>
        <w:spacing w:line="276" w:lineRule="auto"/>
        <w:jc w:val="both"/>
        <w:rPr>
          <w:rFonts w:ascii="Tahoma" w:hAnsi="Tahoma" w:cs="Tahoma"/>
          <w:b/>
          <w:sz w:val="22"/>
          <w:szCs w:val="22"/>
        </w:rPr>
      </w:pPr>
    </w:p>
    <w:p w:rsidR="006568E4" w:rsidRPr="00F62ECD" w:rsidRDefault="00F83604" w:rsidP="009A7C21">
      <w:pPr>
        <w:spacing w:line="276" w:lineRule="auto"/>
        <w:jc w:val="both"/>
        <w:rPr>
          <w:rFonts w:ascii="Tahoma" w:hAnsi="Tahoma" w:cs="Tahoma"/>
          <w:sz w:val="22"/>
          <w:szCs w:val="22"/>
        </w:rPr>
      </w:pPr>
      <w:r w:rsidRPr="00F62ECD">
        <w:rPr>
          <w:rFonts w:ascii="Tahoma" w:hAnsi="Tahoma" w:cs="Tahoma"/>
          <w:b/>
          <w:sz w:val="22"/>
          <w:szCs w:val="22"/>
        </w:rPr>
        <w:t>VISTOS:</w:t>
      </w:r>
      <w:r w:rsidRPr="00F62ECD">
        <w:rPr>
          <w:rFonts w:ascii="Tahoma" w:hAnsi="Tahoma" w:cs="Tahoma"/>
          <w:sz w:val="22"/>
          <w:szCs w:val="22"/>
        </w:rPr>
        <w:t xml:space="preserve"> </w:t>
      </w:r>
    </w:p>
    <w:p w:rsidR="006A50B4" w:rsidRPr="00F62ECD" w:rsidRDefault="006A50B4" w:rsidP="009A7C21">
      <w:pPr>
        <w:spacing w:line="276" w:lineRule="auto"/>
        <w:jc w:val="both"/>
        <w:rPr>
          <w:rFonts w:ascii="Tahoma" w:hAnsi="Tahoma" w:cs="Tahoma"/>
          <w:sz w:val="22"/>
          <w:szCs w:val="22"/>
        </w:rPr>
      </w:pPr>
    </w:p>
    <w:p w:rsidR="00EA32AB" w:rsidRPr="00F62ECD" w:rsidRDefault="00EA32AB" w:rsidP="009A7C21">
      <w:pPr>
        <w:spacing w:line="276" w:lineRule="auto"/>
        <w:jc w:val="both"/>
        <w:rPr>
          <w:rFonts w:ascii="Tahoma" w:hAnsi="Tahoma" w:cs="Tahoma"/>
          <w:sz w:val="22"/>
          <w:szCs w:val="22"/>
        </w:rPr>
      </w:pPr>
    </w:p>
    <w:p w:rsidR="006568E4" w:rsidRPr="00F62ECD" w:rsidRDefault="00F83604">
      <w:pPr>
        <w:spacing w:line="276" w:lineRule="auto"/>
        <w:jc w:val="both"/>
        <w:rPr>
          <w:rFonts w:ascii="Tahoma" w:hAnsi="Tahoma" w:cs="Tahoma"/>
          <w:sz w:val="22"/>
          <w:szCs w:val="22"/>
        </w:rPr>
      </w:pPr>
      <w:r w:rsidRPr="00F62ECD">
        <w:rPr>
          <w:rFonts w:ascii="Tahoma" w:hAnsi="Tahoma" w:cs="Tahoma"/>
          <w:sz w:val="22"/>
          <w:szCs w:val="22"/>
        </w:rPr>
        <w:t xml:space="preserve">El Decreto con Fuerza de Ley </w:t>
      </w:r>
      <w:r w:rsidR="00BE2A37" w:rsidRPr="00F62ECD">
        <w:rPr>
          <w:rFonts w:ascii="Tahoma" w:hAnsi="Tahoma" w:cs="Tahoma"/>
          <w:sz w:val="22"/>
          <w:szCs w:val="22"/>
        </w:rPr>
        <w:t>Nº</w:t>
      </w:r>
      <w:r w:rsidRPr="00F62ECD">
        <w:rPr>
          <w:rFonts w:ascii="Tahoma" w:hAnsi="Tahoma" w:cs="Tahoma"/>
          <w:sz w:val="22"/>
          <w:szCs w:val="22"/>
        </w:rPr>
        <w:t xml:space="preserve"> 30, de 2004, del Ministerio de Hacienda, que aprueba el texto refundido, coordinado y sistematizado del Decreto con fuerza de Ley </w:t>
      </w:r>
      <w:r w:rsidR="00BE2A37" w:rsidRPr="00F62ECD">
        <w:rPr>
          <w:rFonts w:ascii="Tahoma" w:hAnsi="Tahoma" w:cs="Tahoma"/>
          <w:sz w:val="22"/>
          <w:szCs w:val="22"/>
        </w:rPr>
        <w:t>Nº</w:t>
      </w:r>
      <w:r w:rsidRPr="00F62ECD">
        <w:rPr>
          <w:rFonts w:ascii="Tahoma" w:hAnsi="Tahoma" w:cs="Tahoma"/>
          <w:sz w:val="22"/>
          <w:szCs w:val="22"/>
        </w:rPr>
        <w:t xml:space="preserve"> 213, de 1953, sobre la Ordenanza de Aduanas.</w:t>
      </w:r>
    </w:p>
    <w:p w:rsidR="00ED4D0F" w:rsidRPr="00F62ECD" w:rsidRDefault="00ED4D0F" w:rsidP="00ED4D0F">
      <w:pPr>
        <w:spacing w:line="276" w:lineRule="auto"/>
        <w:jc w:val="both"/>
        <w:rPr>
          <w:rFonts w:ascii="Tahoma" w:hAnsi="Tahoma" w:cs="Tahoma"/>
          <w:sz w:val="22"/>
          <w:szCs w:val="22"/>
        </w:rPr>
      </w:pPr>
    </w:p>
    <w:p w:rsidR="00ED4D0F" w:rsidRPr="00F62ECD" w:rsidRDefault="00ED4D0F" w:rsidP="00ED4D0F">
      <w:pPr>
        <w:spacing w:line="276" w:lineRule="auto"/>
        <w:jc w:val="both"/>
        <w:rPr>
          <w:rFonts w:ascii="Tahoma" w:hAnsi="Tahoma" w:cs="Tahoma"/>
          <w:sz w:val="22"/>
          <w:szCs w:val="22"/>
        </w:rPr>
      </w:pPr>
      <w:r w:rsidRPr="00F62ECD">
        <w:rPr>
          <w:rFonts w:ascii="Tahoma" w:hAnsi="Tahoma" w:cs="Tahoma"/>
          <w:sz w:val="22"/>
          <w:szCs w:val="22"/>
        </w:rPr>
        <w:t>El Compendio de Normas Aduaneras, sustituido por Resolución Nº 1.300, de 14.03.2006.</w:t>
      </w:r>
    </w:p>
    <w:p w:rsidR="00545BB3" w:rsidRPr="00F62ECD" w:rsidRDefault="00545BB3" w:rsidP="00ED4D0F">
      <w:pPr>
        <w:spacing w:line="276" w:lineRule="auto"/>
        <w:jc w:val="both"/>
        <w:rPr>
          <w:rFonts w:ascii="Tahoma" w:hAnsi="Tahoma" w:cs="Tahoma"/>
          <w:sz w:val="22"/>
          <w:szCs w:val="22"/>
        </w:rPr>
      </w:pPr>
    </w:p>
    <w:p w:rsidR="00545BB3" w:rsidRPr="00F62ECD" w:rsidRDefault="00545BB3" w:rsidP="001F7575">
      <w:pPr>
        <w:spacing w:line="276" w:lineRule="auto"/>
        <w:jc w:val="both"/>
        <w:rPr>
          <w:rFonts w:ascii="Tahoma" w:hAnsi="Tahoma" w:cs="Tahoma"/>
          <w:sz w:val="22"/>
          <w:szCs w:val="22"/>
        </w:rPr>
      </w:pPr>
      <w:r w:rsidRPr="00F62ECD">
        <w:rPr>
          <w:rFonts w:ascii="Tahoma" w:hAnsi="Tahoma" w:cs="Tahoma"/>
          <w:sz w:val="22"/>
          <w:szCs w:val="22"/>
        </w:rPr>
        <w:t>El Decreto Nº 1.114 de 199</w:t>
      </w:r>
      <w:r w:rsidR="001F7575" w:rsidRPr="00F62ECD">
        <w:rPr>
          <w:rFonts w:ascii="Tahoma" w:hAnsi="Tahoma" w:cs="Tahoma"/>
          <w:sz w:val="22"/>
          <w:szCs w:val="22"/>
        </w:rPr>
        <w:t>8</w:t>
      </w:r>
      <w:r w:rsidRPr="00F62ECD">
        <w:rPr>
          <w:rFonts w:ascii="Tahoma" w:hAnsi="Tahoma" w:cs="Tahoma"/>
          <w:sz w:val="22"/>
          <w:szCs w:val="22"/>
        </w:rPr>
        <w:t xml:space="preserve"> del Ministerio de Hacienda</w:t>
      </w:r>
      <w:r w:rsidR="001F7575" w:rsidRPr="00F62ECD">
        <w:rPr>
          <w:rFonts w:ascii="Tahoma" w:hAnsi="Tahoma" w:cs="Tahoma"/>
          <w:sz w:val="22"/>
          <w:szCs w:val="22"/>
        </w:rPr>
        <w:t>, que establece reglamento para la habilitación y concesión de los recintos de depósito aduanero y el almacenamiento de las mercancías</w:t>
      </w:r>
    </w:p>
    <w:p w:rsidR="00636028" w:rsidRPr="00F62ECD" w:rsidRDefault="00636028" w:rsidP="00ED4D0F">
      <w:pPr>
        <w:spacing w:line="276" w:lineRule="auto"/>
        <w:jc w:val="both"/>
        <w:rPr>
          <w:rFonts w:ascii="Tahoma" w:hAnsi="Tahoma" w:cs="Tahoma"/>
          <w:sz w:val="22"/>
          <w:szCs w:val="22"/>
        </w:rPr>
      </w:pPr>
    </w:p>
    <w:p w:rsidR="00636028" w:rsidRPr="00F62ECD" w:rsidRDefault="00636028" w:rsidP="00ED4D0F">
      <w:pPr>
        <w:spacing w:line="276" w:lineRule="auto"/>
        <w:jc w:val="both"/>
        <w:rPr>
          <w:rFonts w:ascii="Tahoma" w:hAnsi="Tahoma" w:cs="Tahoma"/>
          <w:sz w:val="22"/>
          <w:szCs w:val="22"/>
        </w:rPr>
      </w:pPr>
      <w:r w:rsidRPr="00F62ECD">
        <w:rPr>
          <w:rFonts w:ascii="Tahoma" w:hAnsi="Tahoma" w:cs="Tahoma"/>
          <w:sz w:val="22"/>
          <w:szCs w:val="22"/>
        </w:rPr>
        <w:t>La Resolución 7.591</w:t>
      </w:r>
      <w:r w:rsidR="0092656C" w:rsidRPr="00F62ECD">
        <w:rPr>
          <w:rFonts w:ascii="Tahoma" w:hAnsi="Tahoma" w:cs="Tahoma"/>
          <w:sz w:val="22"/>
          <w:szCs w:val="22"/>
        </w:rPr>
        <w:t xml:space="preserve"> de 02.10.2012 del Director Nacional de </w:t>
      </w:r>
      <w:r w:rsidR="006F36B0" w:rsidRPr="00F62ECD">
        <w:rPr>
          <w:rFonts w:ascii="Tahoma" w:hAnsi="Tahoma" w:cs="Tahoma"/>
          <w:sz w:val="22"/>
          <w:szCs w:val="22"/>
        </w:rPr>
        <w:t>Aduanas</w:t>
      </w:r>
      <w:r w:rsidR="0092656C" w:rsidRPr="00F62ECD">
        <w:rPr>
          <w:rFonts w:ascii="Tahoma" w:hAnsi="Tahoma" w:cs="Tahoma"/>
          <w:sz w:val="22"/>
          <w:szCs w:val="22"/>
        </w:rPr>
        <w:t>, por la cual se aprueban las “normas sobre presentación electrónica del Manifiesto de carga de Ingreso por vía Marítima”.</w:t>
      </w:r>
    </w:p>
    <w:p w:rsidR="00972D00" w:rsidRPr="00F62ECD" w:rsidRDefault="00972D00">
      <w:pPr>
        <w:spacing w:line="276" w:lineRule="auto"/>
        <w:jc w:val="both"/>
        <w:rPr>
          <w:rFonts w:ascii="Tahoma" w:hAnsi="Tahoma" w:cs="Tahoma"/>
          <w:color w:val="595959"/>
          <w:sz w:val="22"/>
          <w:szCs w:val="22"/>
        </w:rPr>
      </w:pPr>
    </w:p>
    <w:p w:rsidR="0099009D" w:rsidRPr="00F62ECD" w:rsidRDefault="00D21E23">
      <w:pPr>
        <w:spacing w:line="276" w:lineRule="auto"/>
        <w:jc w:val="both"/>
        <w:rPr>
          <w:rFonts w:ascii="Tahoma" w:hAnsi="Tahoma" w:cs="Tahoma"/>
          <w:sz w:val="22"/>
          <w:szCs w:val="22"/>
        </w:rPr>
      </w:pPr>
      <w:r w:rsidRPr="00F62ECD">
        <w:rPr>
          <w:rFonts w:ascii="Tahoma" w:hAnsi="Tahoma" w:cs="Tahoma"/>
          <w:sz w:val="22"/>
          <w:szCs w:val="22"/>
        </w:rPr>
        <w:t>La Resolución Exenta Nº 2.098 de 10.04.2015 del Director Nacional de Aduanas</w:t>
      </w:r>
      <w:r w:rsidR="00C32763" w:rsidRPr="00F62ECD">
        <w:rPr>
          <w:rFonts w:ascii="Tahoma" w:hAnsi="Tahoma" w:cs="Tahoma"/>
          <w:sz w:val="22"/>
          <w:szCs w:val="22"/>
        </w:rPr>
        <w:t>, que establece el procedimiento administrativo para el retiro de las cargas manifestadas a un determinado Recinto de Deposito Aduanero</w:t>
      </w:r>
      <w:r w:rsidR="00DF2EEA" w:rsidRPr="00F62ECD">
        <w:rPr>
          <w:rFonts w:ascii="Tahoma" w:hAnsi="Tahoma" w:cs="Tahoma"/>
          <w:sz w:val="22"/>
          <w:szCs w:val="22"/>
        </w:rPr>
        <w:t>.</w:t>
      </w:r>
    </w:p>
    <w:p w:rsidR="0092656C" w:rsidRPr="00F62ECD" w:rsidRDefault="0092656C">
      <w:pPr>
        <w:spacing w:line="276" w:lineRule="auto"/>
        <w:jc w:val="both"/>
        <w:rPr>
          <w:rFonts w:ascii="Tahoma" w:hAnsi="Tahoma" w:cs="Tahoma"/>
          <w:sz w:val="22"/>
          <w:szCs w:val="22"/>
        </w:rPr>
      </w:pPr>
    </w:p>
    <w:p w:rsidR="0092656C" w:rsidRPr="00F62ECD" w:rsidRDefault="0092656C">
      <w:pPr>
        <w:spacing w:line="276" w:lineRule="auto"/>
        <w:jc w:val="both"/>
        <w:rPr>
          <w:rFonts w:ascii="Tahoma" w:hAnsi="Tahoma" w:cs="Tahoma"/>
          <w:sz w:val="22"/>
          <w:szCs w:val="22"/>
        </w:rPr>
      </w:pPr>
      <w:r w:rsidRPr="00F62ECD">
        <w:rPr>
          <w:rFonts w:ascii="Tahoma" w:hAnsi="Tahoma" w:cs="Tahoma"/>
          <w:sz w:val="22"/>
          <w:szCs w:val="22"/>
        </w:rPr>
        <w:t>El Oficio Circular Nº 296 de 01.08.2016 del Subdirector Técnico (T y P), que precisa instrucciones respecto a la aplicación operativa, dispuesta en la Resolución Exenta Nº 2.098/2015, en relación al</w:t>
      </w:r>
      <w:r w:rsidR="005D389B" w:rsidRPr="00F62ECD">
        <w:rPr>
          <w:rFonts w:ascii="Tahoma" w:hAnsi="Tahoma" w:cs="Tahoma"/>
          <w:sz w:val="22"/>
          <w:szCs w:val="22"/>
        </w:rPr>
        <w:t xml:space="preserve"> cambio de almacenista mediante una SMDA.</w:t>
      </w:r>
      <w:r w:rsidRPr="00F62ECD">
        <w:rPr>
          <w:rFonts w:ascii="Tahoma" w:hAnsi="Tahoma" w:cs="Tahoma"/>
          <w:sz w:val="22"/>
          <w:szCs w:val="22"/>
        </w:rPr>
        <w:t xml:space="preserve"> </w:t>
      </w:r>
    </w:p>
    <w:p w:rsidR="00DF2EEA" w:rsidRPr="00F62ECD" w:rsidRDefault="00DF2EEA">
      <w:pPr>
        <w:spacing w:line="276" w:lineRule="auto"/>
        <w:jc w:val="both"/>
        <w:rPr>
          <w:rFonts w:ascii="Tahoma" w:hAnsi="Tahoma" w:cs="Tahoma"/>
          <w:sz w:val="22"/>
          <w:szCs w:val="22"/>
        </w:rPr>
      </w:pPr>
    </w:p>
    <w:p w:rsidR="00DF2EEA" w:rsidRPr="00F62ECD" w:rsidRDefault="00DF2EEA">
      <w:pPr>
        <w:spacing w:line="276" w:lineRule="auto"/>
        <w:jc w:val="both"/>
        <w:rPr>
          <w:rFonts w:ascii="Tahoma" w:hAnsi="Tahoma" w:cs="Tahoma"/>
          <w:sz w:val="22"/>
          <w:szCs w:val="22"/>
        </w:rPr>
      </w:pPr>
    </w:p>
    <w:p w:rsidR="006A50B4" w:rsidRPr="00F62ECD" w:rsidRDefault="006A50B4">
      <w:pPr>
        <w:spacing w:line="276" w:lineRule="auto"/>
        <w:jc w:val="both"/>
        <w:rPr>
          <w:rFonts w:ascii="Tahoma" w:hAnsi="Tahoma" w:cs="Tahoma"/>
          <w:sz w:val="22"/>
          <w:szCs w:val="22"/>
        </w:rPr>
      </w:pPr>
    </w:p>
    <w:p w:rsidR="00E70CF1" w:rsidRPr="00F62ECD" w:rsidRDefault="00E70CF1" w:rsidP="0092656C">
      <w:pPr>
        <w:spacing w:line="276" w:lineRule="auto"/>
        <w:jc w:val="both"/>
        <w:rPr>
          <w:rFonts w:ascii="Tahoma" w:hAnsi="Tahoma" w:cs="Tahoma"/>
          <w:b/>
          <w:bCs/>
          <w:sz w:val="22"/>
          <w:szCs w:val="22"/>
        </w:rPr>
      </w:pPr>
      <w:r w:rsidRPr="00F62ECD">
        <w:rPr>
          <w:rFonts w:ascii="Tahoma" w:hAnsi="Tahoma" w:cs="Tahoma"/>
          <w:b/>
          <w:bCs/>
          <w:sz w:val="22"/>
          <w:szCs w:val="22"/>
        </w:rPr>
        <w:t>CONSIDERANDO:</w:t>
      </w:r>
    </w:p>
    <w:p w:rsidR="00EA32AB" w:rsidRPr="00F62ECD" w:rsidRDefault="00EA32AB" w:rsidP="009A7C21">
      <w:pPr>
        <w:spacing w:line="276" w:lineRule="auto"/>
        <w:ind w:right="-21"/>
        <w:jc w:val="both"/>
        <w:rPr>
          <w:rFonts w:ascii="Tahoma" w:hAnsi="Tahoma" w:cs="Tahoma"/>
          <w:b/>
          <w:bCs/>
          <w:sz w:val="22"/>
          <w:szCs w:val="22"/>
        </w:rPr>
      </w:pPr>
    </w:p>
    <w:p w:rsidR="001F7575" w:rsidRPr="00F62ECD" w:rsidRDefault="001F7575" w:rsidP="001F7575">
      <w:pPr>
        <w:pStyle w:val="NormalWeb"/>
        <w:spacing w:line="276" w:lineRule="auto"/>
        <w:jc w:val="both"/>
        <w:rPr>
          <w:rFonts w:ascii="Tahoma" w:hAnsi="Tahoma" w:cs="Tahoma"/>
          <w:sz w:val="22"/>
          <w:szCs w:val="22"/>
        </w:rPr>
      </w:pPr>
      <w:r w:rsidRPr="00F62ECD">
        <w:rPr>
          <w:rFonts w:ascii="Tahoma" w:hAnsi="Tahoma" w:cs="Tahoma"/>
          <w:bCs/>
          <w:sz w:val="22"/>
          <w:szCs w:val="22"/>
          <w:lang w:val="es-ES_tradnl" w:eastAsia="es-ES_tradnl"/>
        </w:rPr>
        <w:t xml:space="preserve">Que, el Decreto </w:t>
      </w:r>
      <w:r w:rsidR="00A026D2" w:rsidRPr="00F62ECD">
        <w:rPr>
          <w:rFonts w:ascii="Tahoma" w:hAnsi="Tahoma" w:cs="Tahoma"/>
          <w:bCs/>
          <w:sz w:val="22"/>
          <w:szCs w:val="22"/>
          <w:lang w:val="es-ES_tradnl" w:eastAsia="es-ES_tradnl"/>
        </w:rPr>
        <w:t>Nº</w:t>
      </w:r>
      <w:r w:rsidRPr="00F62ECD">
        <w:rPr>
          <w:rFonts w:ascii="Tahoma" w:hAnsi="Tahoma" w:cs="Tahoma"/>
          <w:bCs/>
          <w:sz w:val="22"/>
          <w:szCs w:val="22"/>
          <w:lang w:val="es-ES_tradnl" w:eastAsia="es-ES_tradnl"/>
        </w:rPr>
        <w:t xml:space="preserve"> 1.114/1998 otorgó la facultad </w:t>
      </w:r>
      <w:r w:rsidRPr="00F62ECD">
        <w:rPr>
          <w:rFonts w:ascii="Tahoma" w:hAnsi="Tahoma" w:cs="Tahoma"/>
          <w:sz w:val="22"/>
          <w:szCs w:val="22"/>
        </w:rPr>
        <w:t>al consignatario de las mercancías de designar el almacenista de su preferencia.</w:t>
      </w:r>
    </w:p>
    <w:p w:rsidR="00C165B0" w:rsidRPr="00F62ECD" w:rsidRDefault="00C165B0" w:rsidP="001F7575">
      <w:pPr>
        <w:pStyle w:val="NormalWeb"/>
        <w:spacing w:line="276" w:lineRule="auto"/>
        <w:jc w:val="both"/>
        <w:rPr>
          <w:rFonts w:ascii="Tahoma" w:hAnsi="Tahoma" w:cs="Tahoma"/>
          <w:sz w:val="22"/>
          <w:szCs w:val="22"/>
        </w:rPr>
      </w:pPr>
      <w:r w:rsidRPr="00F62ECD">
        <w:rPr>
          <w:rFonts w:ascii="Tahoma" w:hAnsi="Tahoma" w:cs="Tahoma"/>
          <w:sz w:val="22"/>
          <w:szCs w:val="22"/>
        </w:rPr>
        <w:t>Que, conforme lo establecido en la Resolución Exenta Nº 7.591/2012 sobre el plazo que se le otorga al consignatario de la carga para la designación del almacenista de su preferencia se f</w:t>
      </w:r>
      <w:r w:rsidR="00A951B7" w:rsidRPr="00F62ECD">
        <w:rPr>
          <w:rFonts w:ascii="Tahoma" w:hAnsi="Tahoma" w:cs="Tahoma"/>
          <w:sz w:val="22"/>
          <w:szCs w:val="22"/>
        </w:rPr>
        <w:t>i</w:t>
      </w:r>
      <w:r w:rsidRPr="00F62ECD">
        <w:rPr>
          <w:rFonts w:ascii="Tahoma" w:hAnsi="Tahoma" w:cs="Tahoma"/>
          <w:sz w:val="22"/>
          <w:szCs w:val="22"/>
        </w:rPr>
        <w:t>jó en 144 horas corridas antes del arribo estimado de la</w:t>
      </w:r>
      <w:r w:rsidR="00A951B7" w:rsidRPr="00F62ECD">
        <w:rPr>
          <w:rFonts w:ascii="Tahoma" w:hAnsi="Tahoma" w:cs="Tahoma"/>
          <w:sz w:val="22"/>
          <w:szCs w:val="22"/>
        </w:rPr>
        <w:t xml:space="preserve"> nave, lo que difiere de lo establecido en la </w:t>
      </w:r>
      <w:r w:rsidR="00C81BF2" w:rsidRPr="00F62ECD">
        <w:rPr>
          <w:rFonts w:ascii="Tahoma" w:hAnsi="Tahoma" w:cs="Tahoma"/>
          <w:sz w:val="22"/>
          <w:szCs w:val="22"/>
        </w:rPr>
        <w:t>Resolución Exenta</w:t>
      </w:r>
      <w:r w:rsidR="00A951B7" w:rsidRPr="00F62ECD">
        <w:rPr>
          <w:rFonts w:ascii="Tahoma" w:hAnsi="Tahoma" w:cs="Tahoma"/>
          <w:sz w:val="22"/>
          <w:szCs w:val="22"/>
        </w:rPr>
        <w:t xml:space="preserve"> Nº 2.098/2015.  </w:t>
      </w:r>
      <w:r w:rsidRPr="00F62ECD">
        <w:rPr>
          <w:rFonts w:ascii="Tahoma" w:hAnsi="Tahoma" w:cs="Tahoma"/>
          <w:sz w:val="22"/>
          <w:szCs w:val="22"/>
        </w:rPr>
        <w:t xml:space="preserve">       </w:t>
      </w:r>
    </w:p>
    <w:p w:rsidR="001F7575" w:rsidRPr="00F62ECD" w:rsidRDefault="001F7575" w:rsidP="001F7575">
      <w:pPr>
        <w:pStyle w:val="NormalWeb"/>
        <w:spacing w:line="276" w:lineRule="auto"/>
        <w:jc w:val="both"/>
        <w:rPr>
          <w:rFonts w:ascii="Tahoma" w:hAnsi="Tahoma" w:cs="Tahoma"/>
          <w:bCs/>
          <w:sz w:val="22"/>
          <w:szCs w:val="22"/>
          <w:lang w:val="es-ES_tradnl" w:eastAsia="es-ES_tradnl"/>
        </w:rPr>
      </w:pPr>
      <w:r w:rsidRPr="00F62ECD">
        <w:rPr>
          <w:rFonts w:ascii="Tahoma" w:hAnsi="Tahoma" w:cs="Tahoma"/>
          <w:bCs/>
          <w:sz w:val="22"/>
          <w:szCs w:val="22"/>
          <w:lang w:val="es-ES_tradnl" w:eastAsia="es-ES_tradnl"/>
        </w:rPr>
        <w:t xml:space="preserve">Que, </w:t>
      </w:r>
      <w:r w:rsidRPr="00F62ECD">
        <w:rPr>
          <w:rFonts w:ascii="Tahoma" w:eastAsiaTheme="minorHAnsi" w:hAnsi="Tahoma" w:cs="Tahoma"/>
          <w:bCs/>
          <w:sz w:val="22"/>
          <w:szCs w:val="22"/>
          <w:lang w:val="es-ES_tradnl" w:eastAsia="es-ES_tradnl"/>
        </w:rPr>
        <w:t>los consignantes o consignatarios</w:t>
      </w:r>
      <w:r w:rsidR="00991434" w:rsidRPr="00F62ECD">
        <w:rPr>
          <w:rFonts w:ascii="Tahoma" w:eastAsiaTheme="minorHAnsi" w:hAnsi="Tahoma" w:cs="Tahoma"/>
          <w:bCs/>
          <w:sz w:val="22"/>
          <w:szCs w:val="22"/>
          <w:lang w:val="es-ES_tradnl" w:eastAsia="es-ES_tradnl"/>
        </w:rPr>
        <w:t xml:space="preserve"> </w:t>
      </w:r>
      <w:r w:rsidRPr="00F62ECD">
        <w:rPr>
          <w:rFonts w:ascii="Tahoma" w:hAnsi="Tahoma" w:cs="Tahoma"/>
          <w:bCs/>
          <w:sz w:val="22"/>
          <w:szCs w:val="22"/>
          <w:lang w:val="es-ES_tradnl" w:eastAsia="es-ES_tradnl"/>
        </w:rPr>
        <w:t>de las mercancías no podrán trasladarlas a otro almacén sometido a la jurisdicción de la misma Aduana, excepto con autorización previa del</w:t>
      </w:r>
      <w:r w:rsidR="00C165B0" w:rsidRPr="00F62ECD">
        <w:rPr>
          <w:rFonts w:ascii="Tahoma" w:hAnsi="Tahoma" w:cs="Tahoma"/>
          <w:bCs/>
          <w:sz w:val="22"/>
          <w:szCs w:val="22"/>
          <w:lang w:val="es-ES_tradnl" w:eastAsia="es-ES_tradnl"/>
        </w:rPr>
        <w:t xml:space="preserve"> </w:t>
      </w:r>
      <w:r w:rsidRPr="00F62ECD">
        <w:rPr>
          <w:rFonts w:ascii="Tahoma" w:hAnsi="Tahoma" w:cs="Tahoma"/>
          <w:bCs/>
          <w:sz w:val="22"/>
          <w:szCs w:val="22"/>
          <w:lang w:val="es-ES_tradnl" w:eastAsia="es-ES_tradnl"/>
        </w:rPr>
        <w:t>Administrador o Director Regional conforma lo dispone el artículo 31 del Decreto Nº 1.114/1998.</w:t>
      </w:r>
    </w:p>
    <w:p w:rsidR="005D389B" w:rsidRPr="00F62ECD" w:rsidRDefault="00592D40" w:rsidP="005D389B">
      <w:pPr>
        <w:spacing w:line="276" w:lineRule="auto"/>
        <w:jc w:val="both"/>
        <w:rPr>
          <w:rFonts w:ascii="Tahoma" w:hAnsi="Tahoma" w:cs="Tahoma"/>
          <w:sz w:val="22"/>
          <w:szCs w:val="22"/>
        </w:rPr>
      </w:pPr>
      <w:r w:rsidRPr="00F62ECD">
        <w:rPr>
          <w:rFonts w:ascii="Tahoma" w:hAnsi="Tahoma" w:cs="Tahoma"/>
          <w:bCs/>
          <w:sz w:val="22"/>
          <w:szCs w:val="22"/>
          <w:lang w:eastAsia="es-ES_tradnl"/>
        </w:rPr>
        <w:t xml:space="preserve">Que, </w:t>
      </w:r>
      <w:r w:rsidR="00ED4D0F" w:rsidRPr="00F62ECD">
        <w:rPr>
          <w:rFonts w:ascii="Tahoma" w:hAnsi="Tahoma" w:cs="Tahoma"/>
          <w:bCs/>
          <w:sz w:val="22"/>
          <w:szCs w:val="22"/>
          <w:lang w:eastAsia="es-ES_tradnl"/>
        </w:rPr>
        <w:t xml:space="preserve">conforme a lo establecido en </w:t>
      </w:r>
      <w:r w:rsidR="0092656C" w:rsidRPr="00F62ECD">
        <w:rPr>
          <w:rFonts w:ascii="Tahoma" w:hAnsi="Tahoma" w:cs="Tahoma"/>
          <w:bCs/>
          <w:sz w:val="22"/>
          <w:szCs w:val="22"/>
          <w:lang w:eastAsia="es-ES_tradnl"/>
        </w:rPr>
        <w:t>la Resolución</w:t>
      </w:r>
      <w:r w:rsidR="0092656C" w:rsidRPr="00F62ECD">
        <w:rPr>
          <w:rFonts w:ascii="Tahoma" w:hAnsi="Tahoma" w:cs="Tahoma"/>
          <w:sz w:val="22"/>
          <w:szCs w:val="22"/>
        </w:rPr>
        <w:t xml:space="preserve"> Exenta Nº 2.098/2015 </w:t>
      </w:r>
      <w:r w:rsidR="005D389B" w:rsidRPr="00F62ECD">
        <w:rPr>
          <w:rFonts w:ascii="Tahoma" w:hAnsi="Tahoma" w:cs="Tahoma"/>
          <w:sz w:val="22"/>
          <w:szCs w:val="22"/>
        </w:rPr>
        <w:t>y el Oficio Circular Nº 296/2016 se estableció un procedimiento administrativo y operativo con el retiro de las cargas manifestadas a un determinado Recinto de Deposito Aduanero (RDA) y que posteriormente son objeto de un cambio del Almacenista mediante una SMDA.</w:t>
      </w:r>
    </w:p>
    <w:p w:rsidR="00A026D2" w:rsidRPr="00F62ECD" w:rsidRDefault="00A026D2" w:rsidP="005D389B">
      <w:pPr>
        <w:spacing w:line="276" w:lineRule="auto"/>
        <w:jc w:val="both"/>
        <w:rPr>
          <w:rFonts w:ascii="Tahoma" w:hAnsi="Tahoma" w:cs="Tahoma"/>
          <w:sz w:val="22"/>
          <w:szCs w:val="22"/>
        </w:rPr>
      </w:pPr>
    </w:p>
    <w:p w:rsidR="006D347C" w:rsidRPr="00F62ECD" w:rsidRDefault="00A026D2" w:rsidP="006D347C">
      <w:pPr>
        <w:spacing w:line="276" w:lineRule="auto"/>
        <w:jc w:val="both"/>
        <w:rPr>
          <w:rFonts w:ascii="Tahoma" w:hAnsi="Tahoma" w:cs="Tahoma"/>
          <w:sz w:val="22"/>
          <w:szCs w:val="22"/>
        </w:rPr>
      </w:pPr>
      <w:r w:rsidRPr="00F62ECD">
        <w:rPr>
          <w:rFonts w:ascii="Tahoma" w:hAnsi="Tahoma" w:cs="Tahoma"/>
          <w:sz w:val="22"/>
          <w:szCs w:val="22"/>
        </w:rPr>
        <w:t xml:space="preserve">Que, el procedimiento citado establece la aprobación automática de las SMDA, es decir, sin la </w:t>
      </w:r>
      <w:r w:rsidR="00991434" w:rsidRPr="00F62ECD">
        <w:rPr>
          <w:rFonts w:ascii="Tahoma" w:hAnsi="Tahoma" w:cs="Tahoma"/>
          <w:sz w:val="22"/>
          <w:szCs w:val="22"/>
        </w:rPr>
        <w:t>intervención</w:t>
      </w:r>
      <w:r w:rsidRPr="00F62ECD">
        <w:rPr>
          <w:rFonts w:ascii="Tahoma" w:hAnsi="Tahoma" w:cs="Tahoma"/>
          <w:sz w:val="22"/>
          <w:szCs w:val="22"/>
        </w:rPr>
        <w:t xml:space="preserve"> de un funcionario de Aduanas</w:t>
      </w:r>
      <w:r w:rsidR="00991434" w:rsidRPr="00F62ECD">
        <w:rPr>
          <w:rFonts w:ascii="Tahoma" w:hAnsi="Tahoma" w:cs="Tahoma"/>
          <w:sz w:val="22"/>
          <w:szCs w:val="22"/>
        </w:rPr>
        <w:t>,</w:t>
      </w:r>
      <w:r w:rsidR="006D347C" w:rsidRPr="00F62ECD">
        <w:rPr>
          <w:rFonts w:ascii="Tahoma" w:hAnsi="Tahoma" w:cs="Tahoma"/>
          <w:sz w:val="22"/>
          <w:szCs w:val="22"/>
        </w:rPr>
        <w:t xml:space="preserve"> </w:t>
      </w:r>
      <w:r w:rsidR="00D8561C" w:rsidRPr="00F62ECD">
        <w:rPr>
          <w:rFonts w:ascii="Tahoma" w:hAnsi="Tahoma" w:cs="Tahoma"/>
          <w:sz w:val="22"/>
          <w:szCs w:val="22"/>
        </w:rPr>
        <w:t>en atención a las condiciones que deben cumplir los lugares de inspección determinados por el Servicio Agrícola y Ganadero o el Servicio Nacional de Salud para el cumplimiento de sus fines fiscalizadores</w:t>
      </w:r>
      <w:r w:rsidR="006A50B4" w:rsidRPr="00F62ECD">
        <w:rPr>
          <w:rFonts w:ascii="Tahoma" w:hAnsi="Tahoma" w:cs="Tahoma"/>
          <w:sz w:val="22"/>
          <w:szCs w:val="22"/>
        </w:rPr>
        <w:t xml:space="preserve"> y que el almacén designado no cuenta con la infraestructura exigida por el organismo fiscalizador. Este procedimiento</w:t>
      </w:r>
      <w:r w:rsidR="006D347C" w:rsidRPr="00F62ECD">
        <w:rPr>
          <w:rFonts w:ascii="Tahoma" w:hAnsi="Tahoma" w:cs="Tahoma"/>
          <w:sz w:val="22"/>
          <w:szCs w:val="22"/>
        </w:rPr>
        <w:t xml:space="preserve"> ha posibilitado cambios al almacenista de las declaraciones de importaciones en forma indiscriminada, </w:t>
      </w:r>
      <w:r w:rsidR="00991434" w:rsidRPr="00F62ECD">
        <w:rPr>
          <w:rFonts w:ascii="Tahoma" w:hAnsi="Tahoma" w:cs="Tahoma"/>
          <w:sz w:val="22"/>
          <w:szCs w:val="22"/>
        </w:rPr>
        <w:t xml:space="preserve">lo que puede resultar en dificultades e incluso </w:t>
      </w:r>
      <w:r w:rsidR="00DB784B" w:rsidRPr="00F62ECD">
        <w:rPr>
          <w:rFonts w:ascii="Tahoma" w:hAnsi="Tahoma" w:cs="Tahoma"/>
          <w:sz w:val="22"/>
          <w:szCs w:val="22"/>
        </w:rPr>
        <w:t>imposibilidad</w:t>
      </w:r>
      <w:r w:rsidR="00991434" w:rsidRPr="00F62ECD">
        <w:rPr>
          <w:rFonts w:ascii="Tahoma" w:hAnsi="Tahoma" w:cs="Tahoma"/>
          <w:sz w:val="22"/>
          <w:szCs w:val="22"/>
        </w:rPr>
        <w:t xml:space="preserve"> de realizar </w:t>
      </w:r>
      <w:r w:rsidR="00DB784B" w:rsidRPr="00F62ECD">
        <w:rPr>
          <w:rFonts w:ascii="Tahoma" w:hAnsi="Tahoma" w:cs="Tahoma"/>
          <w:sz w:val="22"/>
          <w:szCs w:val="22"/>
        </w:rPr>
        <w:t>normalmente</w:t>
      </w:r>
      <w:r w:rsidR="00991434" w:rsidRPr="00F62ECD">
        <w:rPr>
          <w:rFonts w:ascii="Tahoma" w:hAnsi="Tahoma" w:cs="Tahoma"/>
          <w:sz w:val="22"/>
          <w:szCs w:val="22"/>
        </w:rPr>
        <w:t xml:space="preserve"> el proceso de fiscalización, tanto </w:t>
      </w:r>
      <w:r w:rsidR="006D347C" w:rsidRPr="00F62ECD">
        <w:rPr>
          <w:rFonts w:ascii="Tahoma" w:hAnsi="Tahoma" w:cs="Tahoma"/>
          <w:sz w:val="22"/>
          <w:szCs w:val="22"/>
        </w:rPr>
        <w:t xml:space="preserve">inspección documental de la carga </w:t>
      </w:r>
      <w:r w:rsidR="006A50B4" w:rsidRPr="00F62ECD">
        <w:rPr>
          <w:rFonts w:ascii="Tahoma" w:hAnsi="Tahoma" w:cs="Tahoma"/>
          <w:sz w:val="22"/>
          <w:szCs w:val="22"/>
        </w:rPr>
        <w:t>como</w:t>
      </w:r>
      <w:r w:rsidR="006D347C" w:rsidRPr="00F62ECD">
        <w:rPr>
          <w:rFonts w:ascii="Tahoma" w:hAnsi="Tahoma" w:cs="Tahoma"/>
          <w:sz w:val="22"/>
          <w:szCs w:val="22"/>
        </w:rPr>
        <w:t xml:space="preserve"> un aforo de las mercancías.</w:t>
      </w:r>
    </w:p>
    <w:p w:rsidR="006D347C" w:rsidRPr="00F62ECD" w:rsidRDefault="006D347C" w:rsidP="006D347C">
      <w:pPr>
        <w:spacing w:line="276" w:lineRule="auto"/>
        <w:jc w:val="both"/>
        <w:rPr>
          <w:rFonts w:ascii="Tahoma" w:hAnsi="Tahoma" w:cs="Tahoma"/>
          <w:sz w:val="22"/>
          <w:szCs w:val="22"/>
        </w:rPr>
      </w:pPr>
    </w:p>
    <w:p w:rsidR="006D347C" w:rsidRPr="00F62ECD" w:rsidRDefault="006D347C" w:rsidP="006D347C">
      <w:pPr>
        <w:spacing w:line="276" w:lineRule="auto"/>
        <w:jc w:val="both"/>
        <w:rPr>
          <w:rFonts w:ascii="Tahoma" w:hAnsi="Tahoma" w:cs="Tahoma"/>
          <w:sz w:val="22"/>
          <w:szCs w:val="22"/>
        </w:rPr>
      </w:pPr>
      <w:r w:rsidRPr="00F62ECD">
        <w:rPr>
          <w:rFonts w:ascii="Tahoma" w:hAnsi="Tahoma" w:cs="Tahoma"/>
          <w:sz w:val="22"/>
          <w:szCs w:val="22"/>
        </w:rPr>
        <w:t>Que, en virtud del riesgo y la seguridad que conlleva la aprobación automática de estas SMDA sin contemplar los filtros de selectividad se hace necesario modificar las instrucciones impartidas.</w:t>
      </w:r>
    </w:p>
    <w:p w:rsidR="00210B44" w:rsidRPr="00F62ECD" w:rsidRDefault="00210B44" w:rsidP="006D347C">
      <w:pPr>
        <w:spacing w:line="276" w:lineRule="auto"/>
        <w:jc w:val="both"/>
        <w:rPr>
          <w:rFonts w:ascii="Tahoma" w:hAnsi="Tahoma" w:cs="Tahoma"/>
          <w:sz w:val="22"/>
          <w:szCs w:val="22"/>
        </w:rPr>
      </w:pPr>
    </w:p>
    <w:p w:rsidR="00210B44" w:rsidRPr="00F62ECD" w:rsidRDefault="00210B44" w:rsidP="00210B44">
      <w:pPr>
        <w:spacing w:line="276" w:lineRule="auto"/>
        <w:jc w:val="both"/>
        <w:rPr>
          <w:rFonts w:ascii="Tahoma" w:hAnsi="Tahoma" w:cs="Tahoma"/>
          <w:sz w:val="22"/>
          <w:szCs w:val="22"/>
        </w:rPr>
      </w:pPr>
      <w:r w:rsidRPr="00F62ECD">
        <w:rPr>
          <w:rFonts w:ascii="Tahoma" w:hAnsi="Tahoma" w:cs="Tahoma"/>
          <w:sz w:val="22"/>
          <w:szCs w:val="22"/>
        </w:rPr>
        <w:t xml:space="preserve">Que, conforme a lo establecido en la Resolución Nº 223 de 2022, que aprueba la actualización al Procedimiento de Publicación Anticipada, esta resolución fue puesta a disposición de los operadores del comercio internacional y de la ciudadanía, a través de la página web institucional, entre los días XX.XX.2023 y XX.XX.2023, a objeto de ser conocida con anticipación, recibir preguntas, comentarios y observaciones para minimizar errores o dificultades prácticas de aplicación antes de su adopción definitiva; y </w:t>
      </w:r>
    </w:p>
    <w:p w:rsidR="00210B44" w:rsidRPr="00F62ECD" w:rsidRDefault="00210B44" w:rsidP="006D347C">
      <w:pPr>
        <w:spacing w:line="276" w:lineRule="auto"/>
        <w:jc w:val="both"/>
        <w:rPr>
          <w:rFonts w:ascii="Tahoma" w:hAnsi="Tahoma" w:cs="Tahoma"/>
          <w:sz w:val="22"/>
          <w:szCs w:val="22"/>
        </w:rPr>
      </w:pPr>
    </w:p>
    <w:p w:rsidR="00907456" w:rsidRPr="00F62ECD" w:rsidRDefault="00907456" w:rsidP="009A7C21">
      <w:pPr>
        <w:tabs>
          <w:tab w:val="left" w:pos="3686"/>
        </w:tabs>
        <w:spacing w:line="276" w:lineRule="auto"/>
        <w:jc w:val="both"/>
        <w:rPr>
          <w:rFonts w:ascii="Tahoma" w:hAnsi="Tahoma" w:cs="Tahoma"/>
          <w:b/>
          <w:bCs/>
          <w:sz w:val="22"/>
          <w:szCs w:val="22"/>
        </w:rPr>
      </w:pPr>
    </w:p>
    <w:p w:rsidR="00D9419B" w:rsidRPr="00F62ECD" w:rsidRDefault="00D9419B" w:rsidP="009A7C21">
      <w:pPr>
        <w:tabs>
          <w:tab w:val="left" w:pos="3686"/>
        </w:tabs>
        <w:spacing w:line="276" w:lineRule="auto"/>
        <w:jc w:val="both"/>
        <w:rPr>
          <w:rFonts w:ascii="Tahoma" w:hAnsi="Tahoma" w:cs="Tahoma"/>
          <w:b/>
          <w:bCs/>
          <w:sz w:val="22"/>
          <w:szCs w:val="22"/>
        </w:rPr>
      </w:pPr>
    </w:p>
    <w:p w:rsidR="00B46302" w:rsidRPr="00F62ECD" w:rsidRDefault="00B46302" w:rsidP="009A7C21">
      <w:pPr>
        <w:tabs>
          <w:tab w:val="left" w:pos="3686"/>
        </w:tabs>
        <w:spacing w:line="276" w:lineRule="auto"/>
        <w:jc w:val="both"/>
        <w:rPr>
          <w:rFonts w:ascii="Tahoma" w:hAnsi="Tahoma" w:cs="Tahoma"/>
          <w:b/>
          <w:bCs/>
          <w:sz w:val="22"/>
          <w:szCs w:val="22"/>
        </w:rPr>
      </w:pPr>
      <w:r w:rsidRPr="00F62ECD">
        <w:rPr>
          <w:rFonts w:ascii="Tahoma" w:hAnsi="Tahoma" w:cs="Tahoma"/>
          <w:b/>
          <w:bCs/>
          <w:sz w:val="22"/>
          <w:szCs w:val="22"/>
        </w:rPr>
        <w:t>TENIENDO PRESENTE:</w:t>
      </w:r>
    </w:p>
    <w:p w:rsidR="00EA32AB" w:rsidRPr="00F62ECD" w:rsidRDefault="00EA32AB" w:rsidP="009A7C21">
      <w:pPr>
        <w:tabs>
          <w:tab w:val="left" w:pos="3686"/>
        </w:tabs>
        <w:spacing w:line="276" w:lineRule="auto"/>
        <w:jc w:val="both"/>
        <w:rPr>
          <w:rFonts w:ascii="Tahoma" w:hAnsi="Tahoma" w:cs="Tahoma"/>
          <w:b/>
          <w:bCs/>
          <w:sz w:val="22"/>
          <w:szCs w:val="22"/>
        </w:rPr>
      </w:pPr>
    </w:p>
    <w:p w:rsidR="00B46302" w:rsidRPr="00F62ECD" w:rsidRDefault="00B46302">
      <w:pPr>
        <w:tabs>
          <w:tab w:val="left" w:pos="3686"/>
        </w:tabs>
        <w:spacing w:line="276" w:lineRule="auto"/>
        <w:jc w:val="both"/>
        <w:rPr>
          <w:rFonts w:ascii="Tahoma" w:hAnsi="Tahoma" w:cs="Tahoma"/>
          <w:color w:val="000000"/>
          <w:sz w:val="22"/>
          <w:szCs w:val="22"/>
        </w:rPr>
      </w:pPr>
      <w:r w:rsidRPr="00F62ECD">
        <w:rPr>
          <w:rFonts w:ascii="Tahoma" w:hAnsi="Tahoma" w:cs="Tahoma"/>
          <w:bCs/>
          <w:sz w:val="22"/>
          <w:szCs w:val="22"/>
        </w:rPr>
        <w:t xml:space="preserve">Lo dispuesto en el artículo 4°, números 7 y 8 del D.F.L Nº 329/1979 del Ministerio de Hacienda “Ley Orgánica del Servicio Nacional de Aduanas” y la Resolución </w:t>
      </w:r>
      <w:r w:rsidR="00E63917" w:rsidRPr="00F62ECD">
        <w:rPr>
          <w:rFonts w:ascii="Tahoma" w:hAnsi="Tahoma" w:cs="Tahoma"/>
          <w:bCs/>
          <w:sz w:val="22"/>
          <w:szCs w:val="22"/>
        </w:rPr>
        <w:t xml:space="preserve">Nº </w:t>
      </w:r>
      <w:r w:rsidRPr="00F62ECD">
        <w:rPr>
          <w:rFonts w:ascii="Tahoma" w:hAnsi="Tahoma" w:cs="Tahoma"/>
          <w:bCs/>
          <w:sz w:val="22"/>
          <w:szCs w:val="22"/>
        </w:rPr>
        <w:t>7, de 2019, de la Contraloría General de la República, sobre exención del trámite de Toma de Razón, dicto la siguiente:</w:t>
      </w:r>
    </w:p>
    <w:p w:rsidR="0024255F" w:rsidRPr="00F62ECD" w:rsidRDefault="0024255F" w:rsidP="009A7C21">
      <w:pPr>
        <w:widowControl w:val="0"/>
        <w:autoSpaceDE w:val="0"/>
        <w:autoSpaceDN w:val="0"/>
        <w:adjustRightInd w:val="0"/>
        <w:spacing w:line="276" w:lineRule="auto"/>
        <w:jc w:val="both"/>
        <w:rPr>
          <w:rFonts w:ascii="Tahoma" w:hAnsi="Tahoma" w:cs="Tahoma"/>
          <w:sz w:val="22"/>
          <w:szCs w:val="22"/>
        </w:rPr>
      </w:pPr>
    </w:p>
    <w:p w:rsidR="00D9419B" w:rsidRPr="00F62ECD" w:rsidRDefault="00D9419B" w:rsidP="009A7C21">
      <w:pPr>
        <w:widowControl w:val="0"/>
        <w:autoSpaceDE w:val="0"/>
        <w:autoSpaceDN w:val="0"/>
        <w:adjustRightInd w:val="0"/>
        <w:spacing w:line="276" w:lineRule="auto"/>
        <w:jc w:val="both"/>
        <w:rPr>
          <w:rFonts w:ascii="Tahoma" w:hAnsi="Tahoma" w:cs="Tahoma"/>
          <w:sz w:val="22"/>
          <w:szCs w:val="22"/>
        </w:rPr>
      </w:pPr>
    </w:p>
    <w:p w:rsidR="00B46302" w:rsidRPr="00F62ECD" w:rsidRDefault="00B46302" w:rsidP="009A7C21">
      <w:pPr>
        <w:spacing w:line="276" w:lineRule="auto"/>
        <w:rPr>
          <w:rFonts w:ascii="Tahoma" w:hAnsi="Tahoma" w:cs="Tahoma"/>
          <w:b/>
          <w:bCs/>
          <w:sz w:val="22"/>
          <w:szCs w:val="22"/>
        </w:rPr>
      </w:pPr>
      <w:r w:rsidRPr="00F62ECD">
        <w:rPr>
          <w:rFonts w:ascii="Tahoma" w:hAnsi="Tahoma" w:cs="Tahoma"/>
          <w:b/>
          <w:bCs/>
          <w:sz w:val="22"/>
          <w:szCs w:val="22"/>
        </w:rPr>
        <w:t>RESOLUCIÓN:</w:t>
      </w:r>
    </w:p>
    <w:p w:rsidR="00D9419B" w:rsidRPr="00F62ECD" w:rsidRDefault="00D9419B" w:rsidP="009A7C21">
      <w:pPr>
        <w:spacing w:line="276" w:lineRule="auto"/>
        <w:rPr>
          <w:rFonts w:ascii="Tahoma" w:hAnsi="Tahoma" w:cs="Tahoma"/>
          <w:b/>
          <w:bCs/>
          <w:sz w:val="22"/>
          <w:szCs w:val="22"/>
        </w:rPr>
      </w:pPr>
    </w:p>
    <w:p w:rsidR="00EA32AB" w:rsidRPr="00F62ECD" w:rsidRDefault="00EA32AB" w:rsidP="009A7C21">
      <w:pPr>
        <w:spacing w:line="276" w:lineRule="auto"/>
        <w:rPr>
          <w:rFonts w:ascii="Tahoma" w:hAnsi="Tahoma" w:cs="Tahoma"/>
          <w:b/>
          <w:bCs/>
          <w:sz w:val="22"/>
          <w:szCs w:val="22"/>
        </w:rPr>
      </w:pPr>
    </w:p>
    <w:p w:rsidR="00E63917" w:rsidRPr="00F62ECD" w:rsidRDefault="00650A47" w:rsidP="00D15B98">
      <w:pPr>
        <w:pStyle w:val="Prrafodelista"/>
        <w:numPr>
          <w:ilvl w:val="0"/>
          <w:numId w:val="2"/>
        </w:numPr>
        <w:spacing w:line="276" w:lineRule="auto"/>
        <w:ind w:left="426" w:hanging="426"/>
        <w:jc w:val="both"/>
        <w:rPr>
          <w:rFonts w:ascii="Tahoma" w:hAnsi="Tahoma" w:cs="Tahoma"/>
          <w:b/>
          <w:sz w:val="22"/>
          <w:szCs w:val="22"/>
          <w:bdr w:val="none" w:sz="0" w:space="0" w:color="auto" w:frame="1"/>
          <w:lang w:eastAsia="es-CL"/>
        </w:rPr>
      </w:pPr>
      <w:r w:rsidRPr="00F62ECD">
        <w:rPr>
          <w:rFonts w:ascii="Tahoma" w:hAnsi="Tahoma" w:cs="Tahoma"/>
          <w:b/>
          <w:sz w:val="22"/>
          <w:szCs w:val="22"/>
          <w:bdr w:val="none" w:sz="0" w:space="0" w:color="auto" w:frame="1"/>
          <w:lang w:val="es-CL" w:eastAsia="es-CL"/>
        </w:rPr>
        <w:t xml:space="preserve">MODIFÍCASE, </w:t>
      </w:r>
      <w:r w:rsidR="00E63917" w:rsidRPr="00F62ECD">
        <w:rPr>
          <w:rFonts w:ascii="Tahoma" w:hAnsi="Tahoma" w:cs="Tahoma"/>
          <w:bCs/>
          <w:sz w:val="22"/>
          <w:szCs w:val="22"/>
          <w:bdr w:val="none" w:sz="0" w:space="0" w:color="auto" w:frame="1"/>
          <w:lang w:val="es-CL" w:eastAsia="es-CL"/>
        </w:rPr>
        <w:t>la Resolución</w:t>
      </w:r>
      <w:r w:rsidR="00E63917" w:rsidRPr="00F62ECD">
        <w:rPr>
          <w:rFonts w:ascii="Tahoma" w:hAnsi="Tahoma" w:cs="Tahoma"/>
          <w:b/>
          <w:sz w:val="22"/>
          <w:szCs w:val="22"/>
          <w:bdr w:val="none" w:sz="0" w:space="0" w:color="auto" w:frame="1"/>
          <w:lang w:val="es-CL" w:eastAsia="es-CL"/>
        </w:rPr>
        <w:t xml:space="preserve"> </w:t>
      </w:r>
      <w:r w:rsidR="00E63917" w:rsidRPr="00F62ECD">
        <w:rPr>
          <w:rFonts w:ascii="Tahoma" w:hAnsi="Tahoma" w:cs="Tahoma"/>
          <w:bCs/>
          <w:sz w:val="22"/>
          <w:szCs w:val="22"/>
        </w:rPr>
        <w:t>Nº</w:t>
      </w:r>
      <w:r w:rsidR="00E63917" w:rsidRPr="00F62ECD">
        <w:rPr>
          <w:rFonts w:ascii="Tahoma" w:hAnsi="Tahoma" w:cs="Tahoma"/>
          <w:b/>
          <w:sz w:val="22"/>
          <w:szCs w:val="22"/>
          <w:bdr w:val="none" w:sz="0" w:space="0" w:color="auto" w:frame="1"/>
          <w:lang w:val="es-CL" w:eastAsia="es-CL"/>
        </w:rPr>
        <w:t xml:space="preserve"> </w:t>
      </w:r>
      <w:r w:rsidR="00E63917" w:rsidRPr="00F62ECD">
        <w:rPr>
          <w:rFonts w:ascii="Tahoma" w:hAnsi="Tahoma" w:cs="Tahoma"/>
          <w:bCs/>
          <w:sz w:val="22"/>
          <w:szCs w:val="22"/>
          <w:bdr w:val="none" w:sz="0" w:space="0" w:color="auto" w:frame="1"/>
          <w:lang w:val="es-CL" w:eastAsia="es-CL"/>
        </w:rPr>
        <w:t xml:space="preserve">2.098/2015 </w:t>
      </w:r>
      <w:r w:rsidR="00D15B98" w:rsidRPr="00F62ECD">
        <w:rPr>
          <w:rFonts w:ascii="Tahoma" w:hAnsi="Tahoma" w:cs="Tahoma"/>
          <w:bCs/>
          <w:sz w:val="22"/>
          <w:szCs w:val="22"/>
          <w:bdr w:val="none" w:sz="0" w:space="0" w:color="auto" w:frame="1"/>
          <w:lang w:val="es-CL" w:eastAsia="es-CL"/>
        </w:rPr>
        <w:t>como se describe a continuación:</w:t>
      </w:r>
      <w:r w:rsidR="00E63917" w:rsidRPr="00F62ECD">
        <w:rPr>
          <w:rFonts w:ascii="Tahoma" w:hAnsi="Tahoma" w:cs="Tahoma"/>
          <w:bCs/>
          <w:sz w:val="22"/>
          <w:szCs w:val="22"/>
          <w:bdr w:val="none" w:sz="0" w:space="0" w:color="auto" w:frame="1"/>
          <w:lang w:val="es-CL" w:eastAsia="es-CL"/>
        </w:rPr>
        <w:t xml:space="preserve"> </w:t>
      </w:r>
    </w:p>
    <w:p w:rsidR="00E63917" w:rsidRPr="00F62ECD" w:rsidRDefault="00E63917" w:rsidP="00E63917">
      <w:pPr>
        <w:pStyle w:val="Prrafodelista"/>
        <w:spacing w:line="276" w:lineRule="auto"/>
        <w:ind w:left="709"/>
        <w:jc w:val="both"/>
        <w:rPr>
          <w:rFonts w:ascii="Tahoma" w:hAnsi="Tahoma" w:cs="Tahoma"/>
          <w:b/>
          <w:sz w:val="22"/>
          <w:szCs w:val="22"/>
          <w:bdr w:val="none" w:sz="0" w:space="0" w:color="auto" w:frame="1"/>
          <w:lang w:eastAsia="es-CL"/>
        </w:rPr>
      </w:pPr>
    </w:p>
    <w:p w:rsidR="00D9419B" w:rsidRPr="00F62ECD" w:rsidRDefault="00F62ECD" w:rsidP="00D15B98">
      <w:pPr>
        <w:pStyle w:val="Prrafodelista"/>
        <w:widowControl w:val="0"/>
        <w:numPr>
          <w:ilvl w:val="0"/>
          <w:numId w:val="9"/>
        </w:numPr>
        <w:autoSpaceDE w:val="0"/>
        <w:autoSpaceDN w:val="0"/>
        <w:adjustRightInd w:val="0"/>
        <w:spacing w:line="276" w:lineRule="auto"/>
        <w:jc w:val="both"/>
        <w:rPr>
          <w:rFonts w:ascii="Tahoma" w:hAnsi="Tahoma" w:cs="Tahoma"/>
          <w:b/>
          <w:bCs/>
          <w:sz w:val="22"/>
          <w:szCs w:val="22"/>
        </w:rPr>
      </w:pPr>
      <w:r>
        <w:rPr>
          <w:rFonts w:ascii="Tahoma" w:hAnsi="Tahoma" w:cs="Tahoma"/>
          <w:b/>
          <w:bCs/>
          <w:sz w:val="22"/>
          <w:szCs w:val="22"/>
        </w:rPr>
        <w:t>REEMPLÁZASE,</w:t>
      </w:r>
      <w:r w:rsidR="00D9419B" w:rsidRPr="00F62ECD">
        <w:rPr>
          <w:rFonts w:ascii="Tahoma" w:hAnsi="Tahoma" w:cs="Tahoma"/>
          <w:b/>
          <w:bCs/>
          <w:sz w:val="22"/>
          <w:szCs w:val="22"/>
        </w:rPr>
        <w:t xml:space="preserve"> </w:t>
      </w:r>
      <w:r w:rsidR="00D9419B" w:rsidRPr="00F62ECD">
        <w:rPr>
          <w:rFonts w:ascii="Tahoma" w:hAnsi="Tahoma" w:cs="Tahoma"/>
          <w:sz w:val="22"/>
          <w:szCs w:val="22"/>
        </w:rPr>
        <w:t>el guarismo del plazo establecido para la designación del almacenista por parte del consignatario contenido en el numeral 1.1, en el sentido que se indica a continuación:</w:t>
      </w:r>
    </w:p>
    <w:p w:rsidR="00D9419B" w:rsidRPr="00F62ECD" w:rsidRDefault="00D9419B" w:rsidP="00D9419B">
      <w:pPr>
        <w:pStyle w:val="Prrafodelista"/>
        <w:widowControl w:val="0"/>
        <w:autoSpaceDE w:val="0"/>
        <w:autoSpaceDN w:val="0"/>
        <w:adjustRightInd w:val="0"/>
        <w:spacing w:line="276" w:lineRule="auto"/>
        <w:ind w:left="927"/>
        <w:jc w:val="both"/>
        <w:rPr>
          <w:rFonts w:ascii="Tahoma" w:hAnsi="Tahoma" w:cs="Tahoma"/>
          <w:b/>
          <w:bCs/>
          <w:sz w:val="22"/>
          <w:szCs w:val="22"/>
        </w:rPr>
      </w:pPr>
    </w:p>
    <w:p w:rsidR="00D9419B" w:rsidRPr="00F62ECD" w:rsidRDefault="00D9419B" w:rsidP="00D9419B">
      <w:pPr>
        <w:pStyle w:val="Prrafodelista"/>
        <w:widowControl w:val="0"/>
        <w:autoSpaceDE w:val="0"/>
        <w:autoSpaceDN w:val="0"/>
        <w:adjustRightInd w:val="0"/>
        <w:spacing w:line="276" w:lineRule="auto"/>
        <w:ind w:left="927"/>
        <w:jc w:val="both"/>
        <w:rPr>
          <w:rFonts w:ascii="Tahoma" w:hAnsi="Tahoma" w:cs="Tahoma"/>
          <w:sz w:val="22"/>
          <w:szCs w:val="22"/>
        </w:rPr>
      </w:pPr>
      <w:r w:rsidRPr="00F62ECD">
        <w:rPr>
          <w:rFonts w:ascii="Tahoma" w:hAnsi="Tahoma" w:cs="Tahoma"/>
          <w:b/>
          <w:bCs/>
          <w:sz w:val="22"/>
          <w:szCs w:val="22"/>
          <w:u w:val="single"/>
        </w:rPr>
        <w:t>DONDE DICE</w:t>
      </w:r>
      <w:r w:rsidRPr="00F62ECD">
        <w:rPr>
          <w:rFonts w:ascii="Tahoma" w:hAnsi="Tahoma" w:cs="Tahoma"/>
          <w:b/>
          <w:bCs/>
          <w:sz w:val="22"/>
          <w:szCs w:val="22"/>
        </w:rPr>
        <w:t>:</w:t>
      </w:r>
      <w:r w:rsidRPr="00F62ECD">
        <w:rPr>
          <w:rFonts w:ascii="Tahoma" w:hAnsi="Tahoma" w:cs="Tahoma"/>
          <w:sz w:val="22"/>
          <w:szCs w:val="22"/>
        </w:rPr>
        <w:t xml:space="preserve"> “</w:t>
      </w:r>
      <w:r w:rsidR="00585DF2" w:rsidRPr="00F62ECD">
        <w:rPr>
          <w:rFonts w:ascii="Tahoma" w:hAnsi="Tahoma" w:cs="Tahoma"/>
          <w:sz w:val="22"/>
          <w:szCs w:val="22"/>
        </w:rPr>
        <w:t>96</w:t>
      </w:r>
      <w:r w:rsidRPr="00F62ECD">
        <w:rPr>
          <w:rFonts w:ascii="Tahoma" w:hAnsi="Tahoma" w:cs="Tahoma"/>
          <w:sz w:val="22"/>
          <w:szCs w:val="22"/>
        </w:rPr>
        <w:t>”.</w:t>
      </w:r>
    </w:p>
    <w:p w:rsidR="00D9419B" w:rsidRPr="00F62ECD" w:rsidRDefault="00585DF2" w:rsidP="00D9419B">
      <w:pPr>
        <w:pStyle w:val="Prrafodelista"/>
        <w:widowControl w:val="0"/>
        <w:autoSpaceDE w:val="0"/>
        <w:autoSpaceDN w:val="0"/>
        <w:adjustRightInd w:val="0"/>
        <w:spacing w:line="276" w:lineRule="auto"/>
        <w:ind w:left="927"/>
        <w:jc w:val="both"/>
        <w:rPr>
          <w:rFonts w:ascii="Tahoma" w:hAnsi="Tahoma" w:cs="Tahoma"/>
          <w:sz w:val="22"/>
          <w:szCs w:val="22"/>
        </w:rPr>
      </w:pPr>
      <w:r w:rsidRPr="00F62ECD">
        <w:rPr>
          <w:rFonts w:ascii="Tahoma" w:hAnsi="Tahoma" w:cs="Tahoma"/>
          <w:sz w:val="22"/>
          <w:szCs w:val="22"/>
        </w:rPr>
        <w:t xml:space="preserve">  </w:t>
      </w:r>
    </w:p>
    <w:p w:rsidR="001013AF" w:rsidRPr="00F62ECD" w:rsidRDefault="00D9419B" w:rsidP="00D9419B">
      <w:pPr>
        <w:pStyle w:val="Prrafodelista"/>
        <w:widowControl w:val="0"/>
        <w:autoSpaceDE w:val="0"/>
        <w:autoSpaceDN w:val="0"/>
        <w:adjustRightInd w:val="0"/>
        <w:spacing w:line="276" w:lineRule="auto"/>
        <w:ind w:left="927"/>
        <w:jc w:val="both"/>
        <w:rPr>
          <w:rFonts w:ascii="Tahoma" w:hAnsi="Tahoma" w:cs="Tahoma"/>
          <w:b/>
          <w:bCs/>
          <w:sz w:val="22"/>
          <w:szCs w:val="22"/>
        </w:rPr>
      </w:pPr>
      <w:r w:rsidRPr="00F62ECD">
        <w:rPr>
          <w:rFonts w:ascii="Tahoma" w:hAnsi="Tahoma" w:cs="Tahoma"/>
          <w:b/>
          <w:bCs/>
          <w:sz w:val="22"/>
          <w:szCs w:val="22"/>
          <w:u w:val="single"/>
        </w:rPr>
        <w:t>DEBE DECIR:</w:t>
      </w:r>
      <w:r w:rsidRPr="00F62ECD">
        <w:rPr>
          <w:rFonts w:ascii="Tahoma" w:hAnsi="Tahoma" w:cs="Tahoma"/>
          <w:sz w:val="22"/>
          <w:szCs w:val="22"/>
        </w:rPr>
        <w:t xml:space="preserve"> “</w:t>
      </w:r>
      <w:r w:rsidR="00585DF2" w:rsidRPr="00F62ECD">
        <w:rPr>
          <w:rFonts w:ascii="Tahoma" w:hAnsi="Tahoma" w:cs="Tahoma"/>
          <w:sz w:val="22"/>
          <w:szCs w:val="22"/>
        </w:rPr>
        <w:t>144</w:t>
      </w:r>
      <w:r w:rsidRPr="00F62ECD">
        <w:rPr>
          <w:rFonts w:ascii="Tahoma" w:hAnsi="Tahoma" w:cs="Tahoma"/>
          <w:sz w:val="22"/>
          <w:szCs w:val="22"/>
        </w:rPr>
        <w:t>”.</w:t>
      </w:r>
    </w:p>
    <w:p w:rsidR="003D21ED" w:rsidRPr="00F62ECD" w:rsidRDefault="003D21ED" w:rsidP="003D21ED">
      <w:pPr>
        <w:pStyle w:val="Prrafodelista"/>
        <w:widowControl w:val="0"/>
        <w:autoSpaceDE w:val="0"/>
        <w:autoSpaceDN w:val="0"/>
        <w:adjustRightInd w:val="0"/>
        <w:spacing w:line="276" w:lineRule="auto"/>
        <w:ind w:left="927"/>
        <w:jc w:val="both"/>
        <w:rPr>
          <w:rFonts w:ascii="Tahoma" w:hAnsi="Tahoma" w:cs="Tahoma"/>
          <w:b/>
          <w:bCs/>
          <w:sz w:val="22"/>
          <w:szCs w:val="22"/>
        </w:rPr>
      </w:pPr>
    </w:p>
    <w:p w:rsidR="004043B5" w:rsidRPr="00F62ECD" w:rsidRDefault="004043B5" w:rsidP="004D186E">
      <w:pPr>
        <w:pStyle w:val="Prrafodelista"/>
        <w:widowControl w:val="0"/>
        <w:numPr>
          <w:ilvl w:val="0"/>
          <w:numId w:val="9"/>
        </w:numPr>
        <w:autoSpaceDE w:val="0"/>
        <w:autoSpaceDN w:val="0"/>
        <w:adjustRightInd w:val="0"/>
        <w:spacing w:line="276" w:lineRule="auto"/>
        <w:jc w:val="both"/>
        <w:rPr>
          <w:rFonts w:ascii="Tahoma" w:hAnsi="Tahoma" w:cs="Tahoma"/>
          <w:b/>
          <w:bCs/>
          <w:sz w:val="22"/>
          <w:szCs w:val="22"/>
        </w:rPr>
      </w:pPr>
      <w:r w:rsidRPr="00F62ECD">
        <w:rPr>
          <w:rFonts w:ascii="Tahoma" w:hAnsi="Tahoma" w:cs="Tahoma"/>
          <w:b/>
          <w:bCs/>
          <w:sz w:val="22"/>
          <w:szCs w:val="22"/>
        </w:rPr>
        <w:t xml:space="preserve">REEMPLÁZASE, </w:t>
      </w:r>
      <w:r w:rsidRPr="00F62ECD">
        <w:rPr>
          <w:rFonts w:ascii="Tahoma" w:hAnsi="Tahoma" w:cs="Tahoma"/>
          <w:sz w:val="22"/>
          <w:szCs w:val="22"/>
        </w:rPr>
        <w:t xml:space="preserve">el </w:t>
      </w:r>
      <w:r w:rsidR="004D186E" w:rsidRPr="00F62ECD">
        <w:rPr>
          <w:rFonts w:ascii="Tahoma" w:hAnsi="Tahoma" w:cs="Tahoma"/>
          <w:sz w:val="22"/>
          <w:szCs w:val="22"/>
        </w:rPr>
        <w:t xml:space="preserve">numeral 1.6 </w:t>
      </w:r>
      <w:r w:rsidRPr="00F62ECD">
        <w:rPr>
          <w:rFonts w:ascii="Tahoma" w:hAnsi="Tahoma" w:cs="Tahoma"/>
          <w:sz w:val="22"/>
          <w:szCs w:val="22"/>
        </w:rPr>
        <w:t>por el texto a continuación:</w:t>
      </w:r>
    </w:p>
    <w:p w:rsidR="004043B5" w:rsidRPr="00F62ECD" w:rsidRDefault="004043B5" w:rsidP="004043B5">
      <w:pPr>
        <w:pStyle w:val="Prrafodelista"/>
        <w:widowControl w:val="0"/>
        <w:autoSpaceDE w:val="0"/>
        <w:autoSpaceDN w:val="0"/>
        <w:adjustRightInd w:val="0"/>
        <w:spacing w:line="276" w:lineRule="auto"/>
        <w:ind w:left="927"/>
        <w:jc w:val="both"/>
        <w:rPr>
          <w:rFonts w:ascii="Tahoma" w:hAnsi="Tahoma" w:cs="Tahoma"/>
          <w:b/>
          <w:bCs/>
          <w:sz w:val="22"/>
          <w:szCs w:val="22"/>
        </w:rPr>
      </w:pPr>
    </w:p>
    <w:p w:rsidR="004D186E" w:rsidRDefault="004D186E" w:rsidP="004D186E">
      <w:pPr>
        <w:spacing w:line="276" w:lineRule="auto"/>
        <w:ind w:left="927"/>
        <w:jc w:val="both"/>
        <w:rPr>
          <w:rFonts w:ascii="Tahoma" w:hAnsi="Tahoma" w:cs="Tahoma"/>
          <w:sz w:val="22"/>
          <w:szCs w:val="22"/>
        </w:rPr>
      </w:pPr>
      <w:r w:rsidRPr="00F62ECD">
        <w:rPr>
          <w:rFonts w:ascii="Tahoma" w:hAnsi="Tahoma" w:cs="Tahoma"/>
          <w:sz w:val="22"/>
          <w:szCs w:val="22"/>
        </w:rPr>
        <w:t>“1.6 Para efectos de lo señalado en el párrafo anterior, y en caso de que la destinación aduanera ya hubiese sido tramitada, el despachador de aduana podrá presentar una SMDA electrónica, solicitando modificar en la declaración de destinación aduanera, el nombre y código del Almacenista, o bien, agregar el nombre y código del nuevo Almacenista, en caso de que dicha información no hubiese sido señalada en la respectiva declaración de destinación aduanera.</w:t>
      </w:r>
    </w:p>
    <w:p w:rsidR="00F62ECD" w:rsidRPr="00F62ECD" w:rsidRDefault="00F62ECD" w:rsidP="004D186E">
      <w:pPr>
        <w:spacing w:line="276" w:lineRule="auto"/>
        <w:ind w:left="927"/>
        <w:jc w:val="both"/>
        <w:rPr>
          <w:rFonts w:ascii="Tahoma" w:hAnsi="Tahoma" w:cs="Tahoma"/>
          <w:sz w:val="22"/>
          <w:szCs w:val="22"/>
        </w:rPr>
      </w:pPr>
    </w:p>
    <w:p w:rsidR="004D186E" w:rsidRPr="00F62ECD" w:rsidRDefault="004D186E" w:rsidP="004D186E">
      <w:pPr>
        <w:widowControl w:val="0"/>
        <w:autoSpaceDE w:val="0"/>
        <w:autoSpaceDN w:val="0"/>
        <w:adjustRightInd w:val="0"/>
        <w:spacing w:line="276" w:lineRule="auto"/>
        <w:ind w:left="927"/>
        <w:jc w:val="both"/>
        <w:rPr>
          <w:rFonts w:ascii="Tahoma" w:hAnsi="Tahoma" w:cs="Tahoma"/>
          <w:sz w:val="22"/>
          <w:szCs w:val="22"/>
        </w:rPr>
      </w:pPr>
      <w:bookmarkStart w:id="0" w:name="_Hlk131514661"/>
      <w:r w:rsidRPr="00F62ECD">
        <w:rPr>
          <w:rFonts w:ascii="Tahoma" w:hAnsi="Tahoma" w:cs="Tahoma"/>
          <w:sz w:val="22"/>
          <w:szCs w:val="22"/>
        </w:rPr>
        <w:t xml:space="preserve">Las SMDA de cambio de almacén presentadas tramitadas electrónicamente serán aprobadas por sistema o quedarán en estado pendiente, conforme al estado de selección que </w:t>
      </w:r>
      <w:r w:rsidR="00F62ECD">
        <w:rPr>
          <w:rFonts w:ascii="Tahoma" w:hAnsi="Tahoma" w:cs="Tahoma"/>
          <w:sz w:val="22"/>
          <w:szCs w:val="22"/>
        </w:rPr>
        <w:t xml:space="preserve">se </w:t>
      </w:r>
      <w:r w:rsidRPr="00F62ECD">
        <w:rPr>
          <w:rFonts w:ascii="Tahoma" w:hAnsi="Tahoma" w:cs="Tahoma"/>
          <w:sz w:val="22"/>
          <w:szCs w:val="22"/>
        </w:rPr>
        <w:t>le</w:t>
      </w:r>
      <w:r w:rsidR="00F62ECD">
        <w:rPr>
          <w:rFonts w:ascii="Tahoma" w:hAnsi="Tahoma" w:cs="Tahoma"/>
          <w:sz w:val="22"/>
          <w:szCs w:val="22"/>
        </w:rPr>
        <w:t>s</w:t>
      </w:r>
      <w:r w:rsidRPr="00F62ECD">
        <w:rPr>
          <w:rFonts w:ascii="Tahoma" w:hAnsi="Tahoma" w:cs="Tahoma"/>
          <w:sz w:val="22"/>
          <w:szCs w:val="22"/>
        </w:rPr>
        <w:t xml:space="preserve"> hubiere sido asignado.  Las SMDA en estado pendiente pasarán a revisión de un funcionario de Aduanas</w:t>
      </w:r>
      <w:r w:rsidR="00F62ECD">
        <w:rPr>
          <w:rFonts w:ascii="Tahoma" w:hAnsi="Tahoma" w:cs="Tahoma"/>
          <w:sz w:val="22"/>
          <w:szCs w:val="22"/>
        </w:rPr>
        <w:t>, para su aprobación o rechazo</w:t>
      </w:r>
      <w:r w:rsidRPr="00F62ECD">
        <w:rPr>
          <w:rFonts w:ascii="Tahoma" w:hAnsi="Tahoma" w:cs="Tahoma"/>
          <w:sz w:val="22"/>
          <w:szCs w:val="22"/>
        </w:rPr>
        <w:t>.  Sólo una vez aprobada la SMDA se podrá proceder al siguiente paso.</w:t>
      </w:r>
      <w:bookmarkEnd w:id="0"/>
    </w:p>
    <w:p w:rsidR="004D186E" w:rsidRPr="00F62ECD" w:rsidRDefault="004D186E" w:rsidP="004D186E">
      <w:pPr>
        <w:widowControl w:val="0"/>
        <w:autoSpaceDE w:val="0"/>
        <w:autoSpaceDN w:val="0"/>
        <w:adjustRightInd w:val="0"/>
        <w:spacing w:line="276" w:lineRule="auto"/>
        <w:ind w:left="927"/>
        <w:jc w:val="both"/>
        <w:rPr>
          <w:rFonts w:ascii="Tahoma" w:hAnsi="Tahoma" w:cs="Tahoma"/>
          <w:sz w:val="22"/>
          <w:szCs w:val="22"/>
        </w:rPr>
      </w:pPr>
    </w:p>
    <w:p w:rsidR="004D186E" w:rsidRPr="00F62ECD" w:rsidRDefault="004D186E" w:rsidP="004D186E">
      <w:pPr>
        <w:spacing w:line="276" w:lineRule="auto"/>
        <w:ind w:left="927"/>
        <w:jc w:val="both"/>
        <w:rPr>
          <w:rFonts w:ascii="Tahoma" w:hAnsi="Tahoma" w:cs="Tahoma"/>
          <w:sz w:val="22"/>
          <w:szCs w:val="22"/>
        </w:rPr>
      </w:pPr>
      <w:r w:rsidRPr="00F62ECD">
        <w:rPr>
          <w:rFonts w:ascii="Tahoma" w:hAnsi="Tahoma" w:cs="Tahoma"/>
          <w:sz w:val="22"/>
          <w:szCs w:val="22"/>
        </w:rPr>
        <w:t xml:space="preserve">Con esta </w:t>
      </w:r>
      <w:r w:rsidR="00F62ECD">
        <w:rPr>
          <w:rFonts w:ascii="Tahoma" w:hAnsi="Tahoma" w:cs="Tahoma"/>
          <w:sz w:val="22"/>
          <w:szCs w:val="22"/>
        </w:rPr>
        <w:t>SMDA</w:t>
      </w:r>
      <w:r w:rsidRPr="00F62ECD">
        <w:rPr>
          <w:rFonts w:ascii="Tahoma" w:hAnsi="Tahoma" w:cs="Tahoma"/>
          <w:sz w:val="22"/>
          <w:szCs w:val="22"/>
        </w:rPr>
        <w:t xml:space="preserve"> aceptada</w:t>
      </w:r>
      <w:r w:rsidR="00F62ECD">
        <w:rPr>
          <w:rFonts w:ascii="Tahoma" w:hAnsi="Tahoma" w:cs="Tahoma"/>
          <w:sz w:val="22"/>
          <w:szCs w:val="22"/>
        </w:rPr>
        <w:t xml:space="preserve">, que corresponde a la autorización </w:t>
      </w:r>
      <w:r w:rsidRPr="00F62ECD">
        <w:rPr>
          <w:rFonts w:ascii="Tahoma" w:hAnsi="Tahoma" w:cs="Tahoma"/>
          <w:sz w:val="22"/>
          <w:szCs w:val="22"/>
        </w:rPr>
        <w:t xml:space="preserve">emitida por la </w:t>
      </w:r>
      <w:r w:rsidR="00F62ECD">
        <w:rPr>
          <w:rFonts w:ascii="Tahoma" w:hAnsi="Tahoma" w:cs="Tahoma"/>
          <w:sz w:val="22"/>
          <w:szCs w:val="22"/>
        </w:rPr>
        <w:t>Dirección</w:t>
      </w:r>
      <w:r w:rsidRPr="00F62ECD">
        <w:rPr>
          <w:rFonts w:ascii="Tahoma" w:hAnsi="Tahoma" w:cs="Tahoma"/>
          <w:sz w:val="22"/>
          <w:szCs w:val="22"/>
        </w:rPr>
        <w:t xml:space="preserve"> Regional o Administración de Aduana respectiva, y </w:t>
      </w:r>
      <w:r w:rsidR="00F62ECD">
        <w:rPr>
          <w:rFonts w:ascii="Tahoma" w:hAnsi="Tahoma" w:cs="Tahoma"/>
          <w:sz w:val="22"/>
          <w:szCs w:val="22"/>
        </w:rPr>
        <w:t xml:space="preserve">una copia </w:t>
      </w:r>
      <w:r w:rsidRPr="00F62ECD">
        <w:rPr>
          <w:rFonts w:ascii="Tahoma" w:hAnsi="Tahoma" w:cs="Tahoma"/>
          <w:sz w:val="22"/>
          <w:szCs w:val="22"/>
        </w:rPr>
        <w:t xml:space="preserve">de la declaración de destinación aduanera, el despachador deberá notificar a ambos almacenistas (tanto el inicialmente manifestado como al nuevo seleccionado por el consignatario) del referido cambio, al objeto </w:t>
      </w:r>
      <w:r w:rsidR="00F62ECD">
        <w:rPr>
          <w:rFonts w:ascii="Tahoma" w:hAnsi="Tahoma" w:cs="Tahoma"/>
          <w:sz w:val="22"/>
          <w:szCs w:val="22"/>
        </w:rPr>
        <w:t>que</w:t>
      </w:r>
      <w:r w:rsidRPr="00F62ECD">
        <w:rPr>
          <w:rFonts w:ascii="Tahoma" w:hAnsi="Tahoma" w:cs="Tahoma"/>
          <w:sz w:val="22"/>
          <w:szCs w:val="22"/>
        </w:rPr>
        <w:t xml:space="preserve"> éstos solo lleven a cabo medidas o manipulaciones exclusivamente necesarias para la entrega y recepción de la carga. Con ello el nuevo almacenista puede efectuar el traslado de la carga desde el terminal portuario en el cual le sea entregada y su respectiva custodia hasta su legal retiro por parte del consignatario. En virtud de lo anterior, la responsabilidad del primer almacenista cesa desde el momento en que le es entregada la carga al nuevo almacenista y es recibida por éste. La notificación aludida en este numeral deberá practicarse dentro de las 48 horas siguientes contadas desde el arribo de la nave.</w:t>
      </w:r>
    </w:p>
    <w:p w:rsidR="004D186E" w:rsidRPr="00F62ECD" w:rsidRDefault="004D186E" w:rsidP="004D186E">
      <w:pPr>
        <w:spacing w:line="276" w:lineRule="auto"/>
        <w:ind w:left="927"/>
        <w:jc w:val="both"/>
        <w:rPr>
          <w:rFonts w:ascii="Tahoma" w:hAnsi="Tahoma" w:cs="Tahoma"/>
          <w:sz w:val="22"/>
          <w:szCs w:val="22"/>
        </w:rPr>
      </w:pPr>
    </w:p>
    <w:p w:rsidR="004D186E" w:rsidRPr="00F62ECD" w:rsidRDefault="004D186E" w:rsidP="004D186E">
      <w:pPr>
        <w:spacing w:line="276" w:lineRule="auto"/>
        <w:ind w:left="927"/>
        <w:jc w:val="both"/>
        <w:rPr>
          <w:rFonts w:ascii="Tahoma" w:hAnsi="Tahoma" w:cs="Tahoma"/>
          <w:sz w:val="22"/>
          <w:szCs w:val="22"/>
        </w:rPr>
      </w:pPr>
      <w:r w:rsidRPr="00F62ECD">
        <w:rPr>
          <w:rFonts w:ascii="Tahoma" w:hAnsi="Tahoma" w:cs="Tahoma"/>
          <w:sz w:val="22"/>
          <w:szCs w:val="22"/>
        </w:rPr>
        <w:t>En caso de que el almacenista</w:t>
      </w:r>
      <w:r w:rsidR="00F62ECD">
        <w:rPr>
          <w:rFonts w:ascii="Tahoma" w:hAnsi="Tahoma" w:cs="Tahoma"/>
          <w:sz w:val="22"/>
          <w:szCs w:val="22"/>
        </w:rPr>
        <w:t>,</w:t>
      </w:r>
      <w:r w:rsidRPr="00F62ECD">
        <w:rPr>
          <w:rFonts w:ascii="Tahoma" w:hAnsi="Tahoma" w:cs="Tahoma"/>
          <w:sz w:val="22"/>
          <w:szCs w:val="22"/>
        </w:rPr>
        <w:t xml:space="preserve"> a quien inicialmente se le haya notificado la manifestación de la carga, la entregue a otro recinto de depósito distinto del notificado por el despachador de aduanas, deberá denunciarse esta situación a la respectiva Autoridad Aduanera, a fin de evaluar la procedencia de una sanción disciplinaria, conforme a lo dispuesto en el artículo 202 de la Ordenanza de Aduanas. La denuncia señalada en el párrafo anterior podrá ser hecha por el consignatario, su despachador o el nuevo almacenista designado.</w:t>
      </w:r>
    </w:p>
    <w:p w:rsidR="004D186E" w:rsidRPr="00F62ECD" w:rsidRDefault="004D186E" w:rsidP="004D186E">
      <w:pPr>
        <w:spacing w:line="276" w:lineRule="auto"/>
        <w:ind w:left="927"/>
        <w:jc w:val="both"/>
        <w:rPr>
          <w:rFonts w:ascii="Tahoma" w:hAnsi="Tahoma" w:cs="Tahoma"/>
          <w:sz w:val="22"/>
          <w:szCs w:val="22"/>
        </w:rPr>
      </w:pPr>
    </w:p>
    <w:p w:rsidR="004D186E" w:rsidRPr="00F62ECD" w:rsidRDefault="004D186E" w:rsidP="004D186E">
      <w:pPr>
        <w:spacing w:line="276" w:lineRule="auto"/>
        <w:ind w:left="927"/>
        <w:jc w:val="both"/>
        <w:rPr>
          <w:rFonts w:ascii="Tahoma" w:hAnsi="Tahoma" w:cs="Tahoma"/>
          <w:sz w:val="22"/>
          <w:szCs w:val="22"/>
        </w:rPr>
      </w:pPr>
      <w:r w:rsidRPr="00F62ECD">
        <w:rPr>
          <w:rFonts w:ascii="Tahoma" w:hAnsi="Tahoma" w:cs="Tahoma"/>
          <w:sz w:val="22"/>
          <w:szCs w:val="22"/>
        </w:rPr>
        <w:t xml:space="preserve">Tratándose de mercancías respecto de las cuales no se hubiese tramitado un documento de destinación aduanera, el despachador de aduana, a petición del consignatario, podrá solicitar directamente, por vía manual, a la unidad respectiva de la Aduana, la autorización del traslado de la mercancía hasta un nuevo recinto de depósito aduanero. En estos casos, el Director Regional o Administrador de Aduana </w:t>
      </w:r>
      <w:r w:rsidR="00F62ECD">
        <w:rPr>
          <w:rFonts w:ascii="Tahoma" w:hAnsi="Tahoma" w:cs="Tahoma"/>
          <w:sz w:val="22"/>
          <w:szCs w:val="22"/>
        </w:rPr>
        <w:t xml:space="preserve">podrá </w:t>
      </w:r>
      <w:r w:rsidRPr="00F62ECD">
        <w:rPr>
          <w:rFonts w:ascii="Tahoma" w:hAnsi="Tahoma" w:cs="Tahoma"/>
          <w:sz w:val="22"/>
          <w:szCs w:val="22"/>
        </w:rPr>
        <w:t>autorizar, dentro de un plazo máximo de 24 horas contadas desde la solicitud, el cambio de Almacenista a otro sometido a la jurisdicción de la misma Aduana. La referida autorización se formalizará mediante la dictación de una providencia, la que deberá ser presentada por el despachador ante el respectivo Almacenista, junto a una fotocopia del conocimiento de embarque.”</w:t>
      </w:r>
    </w:p>
    <w:p w:rsidR="006A50B4" w:rsidRPr="00F62ECD" w:rsidRDefault="006A50B4" w:rsidP="004B2DBC">
      <w:pPr>
        <w:pStyle w:val="NormalWeb"/>
        <w:spacing w:before="0" w:beforeAutospacing="0" w:after="300" w:afterAutospacing="0"/>
        <w:ind w:left="927"/>
        <w:jc w:val="both"/>
        <w:rPr>
          <w:rFonts w:ascii="Tahoma" w:eastAsiaTheme="minorHAnsi" w:hAnsi="Tahoma" w:cs="Tahoma"/>
          <w:sz w:val="22"/>
          <w:szCs w:val="22"/>
          <w:lang w:val="es-ES_tradnl" w:eastAsia="en-US"/>
        </w:rPr>
      </w:pPr>
    </w:p>
    <w:p w:rsidR="00E63917" w:rsidRPr="00F62ECD" w:rsidRDefault="003D21ED" w:rsidP="003D21ED">
      <w:pPr>
        <w:pStyle w:val="Prrafodelista"/>
        <w:numPr>
          <w:ilvl w:val="0"/>
          <w:numId w:val="2"/>
        </w:numPr>
        <w:tabs>
          <w:tab w:val="left" w:pos="567"/>
        </w:tabs>
        <w:spacing w:line="276" w:lineRule="auto"/>
        <w:ind w:left="567" w:right="-21" w:hanging="567"/>
        <w:jc w:val="both"/>
        <w:rPr>
          <w:rFonts w:ascii="Tahoma" w:hAnsi="Tahoma" w:cs="Tahoma"/>
          <w:bCs/>
          <w:sz w:val="22"/>
          <w:szCs w:val="22"/>
        </w:rPr>
      </w:pPr>
      <w:r w:rsidRPr="00F62ECD">
        <w:rPr>
          <w:rFonts w:ascii="Tahoma" w:hAnsi="Tahoma" w:cs="Tahoma"/>
          <w:b/>
          <w:sz w:val="22"/>
          <w:szCs w:val="22"/>
        </w:rPr>
        <w:t>DÉJASE</w:t>
      </w:r>
      <w:r w:rsidR="00171C98" w:rsidRPr="00F62ECD">
        <w:rPr>
          <w:rFonts w:ascii="Tahoma" w:hAnsi="Tahoma" w:cs="Tahoma"/>
          <w:b/>
          <w:sz w:val="22"/>
          <w:szCs w:val="22"/>
        </w:rPr>
        <w:t>,</w:t>
      </w:r>
      <w:r w:rsidRPr="00F62ECD">
        <w:rPr>
          <w:rFonts w:ascii="Tahoma" w:hAnsi="Tahoma" w:cs="Tahoma"/>
          <w:bCs/>
          <w:sz w:val="22"/>
          <w:szCs w:val="22"/>
        </w:rPr>
        <w:t xml:space="preserve"> </w:t>
      </w:r>
      <w:r w:rsidR="00E63917" w:rsidRPr="00F62ECD">
        <w:rPr>
          <w:rFonts w:ascii="Tahoma" w:hAnsi="Tahoma" w:cs="Tahoma"/>
          <w:bCs/>
          <w:sz w:val="22"/>
          <w:szCs w:val="22"/>
        </w:rPr>
        <w:t xml:space="preserve">sin efecto el </w:t>
      </w:r>
      <w:r w:rsidRPr="00F62ECD">
        <w:rPr>
          <w:rFonts w:ascii="Tahoma" w:hAnsi="Tahoma" w:cs="Tahoma"/>
          <w:bCs/>
          <w:sz w:val="22"/>
          <w:szCs w:val="22"/>
        </w:rPr>
        <w:t xml:space="preserve">Oficio Circular Nº 296 </w:t>
      </w:r>
      <w:r w:rsidR="00BB2F5A" w:rsidRPr="00F62ECD">
        <w:rPr>
          <w:rFonts w:ascii="Tahoma" w:hAnsi="Tahoma" w:cs="Tahoma"/>
          <w:bCs/>
          <w:sz w:val="22"/>
          <w:szCs w:val="22"/>
        </w:rPr>
        <w:t xml:space="preserve">de </w:t>
      </w:r>
      <w:r w:rsidRPr="00F62ECD">
        <w:rPr>
          <w:rFonts w:ascii="Tahoma" w:hAnsi="Tahoma" w:cs="Tahoma"/>
          <w:bCs/>
          <w:sz w:val="22"/>
          <w:szCs w:val="22"/>
        </w:rPr>
        <w:t>01.08.2016 del Subdirector Técnico.</w:t>
      </w:r>
    </w:p>
    <w:p w:rsidR="00E63917" w:rsidRPr="00F62ECD" w:rsidRDefault="00E63917" w:rsidP="009A7C21">
      <w:pPr>
        <w:pStyle w:val="Prrafodelista"/>
        <w:tabs>
          <w:tab w:val="left" w:pos="567"/>
        </w:tabs>
        <w:spacing w:line="276" w:lineRule="auto"/>
        <w:ind w:left="1276" w:right="-21" w:hanging="709"/>
        <w:jc w:val="both"/>
        <w:rPr>
          <w:rFonts w:ascii="Tahoma" w:hAnsi="Tahoma" w:cs="Tahoma"/>
          <w:bCs/>
          <w:sz w:val="22"/>
          <w:szCs w:val="22"/>
        </w:rPr>
      </w:pPr>
    </w:p>
    <w:p w:rsidR="006A50B4" w:rsidRPr="00F62ECD" w:rsidRDefault="006A50B4" w:rsidP="009A7C21">
      <w:pPr>
        <w:pStyle w:val="Prrafodelista"/>
        <w:tabs>
          <w:tab w:val="left" w:pos="567"/>
        </w:tabs>
        <w:spacing w:line="276" w:lineRule="auto"/>
        <w:ind w:left="1276" w:right="-21" w:hanging="709"/>
        <w:jc w:val="both"/>
        <w:rPr>
          <w:rFonts w:ascii="Tahoma" w:hAnsi="Tahoma" w:cs="Tahoma"/>
          <w:bCs/>
          <w:sz w:val="22"/>
          <w:szCs w:val="22"/>
        </w:rPr>
      </w:pPr>
    </w:p>
    <w:p w:rsidR="007C54A4" w:rsidRPr="00F62ECD" w:rsidRDefault="007C54A4" w:rsidP="00511F63">
      <w:pPr>
        <w:pStyle w:val="Prrafodelista"/>
        <w:numPr>
          <w:ilvl w:val="0"/>
          <w:numId w:val="2"/>
        </w:numPr>
        <w:tabs>
          <w:tab w:val="left" w:pos="567"/>
        </w:tabs>
        <w:spacing w:line="276" w:lineRule="auto"/>
        <w:ind w:left="709" w:right="-21" w:hanging="709"/>
        <w:jc w:val="both"/>
        <w:rPr>
          <w:rFonts w:ascii="Tahoma" w:hAnsi="Tahoma" w:cs="Tahoma"/>
          <w:bCs/>
          <w:sz w:val="22"/>
          <w:szCs w:val="22"/>
        </w:rPr>
      </w:pPr>
      <w:r w:rsidRPr="00F62ECD">
        <w:rPr>
          <w:rFonts w:ascii="Tahoma" w:hAnsi="Tahoma" w:cs="Tahoma"/>
          <w:bCs/>
          <w:sz w:val="22"/>
          <w:szCs w:val="22"/>
        </w:rPr>
        <w:t>La presente resolución empezará a regir a contar de la fecha de publicación en el Diario Oficial.</w:t>
      </w:r>
    </w:p>
    <w:p w:rsidR="00CE76CC" w:rsidRPr="00F62ECD" w:rsidRDefault="00CE76CC" w:rsidP="009A7C21">
      <w:pPr>
        <w:widowControl w:val="0"/>
        <w:autoSpaceDE w:val="0"/>
        <w:autoSpaceDN w:val="0"/>
        <w:adjustRightInd w:val="0"/>
        <w:spacing w:line="276" w:lineRule="auto"/>
        <w:ind w:left="1276" w:hanging="709"/>
        <w:jc w:val="both"/>
        <w:rPr>
          <w:rFonts w:ascii="Tahoma" w:hAnsi="Tahoma" w:cs="Tahoma"/>
          <w:sz w:val="22"/>
          <w:szCs w:val="22"/>
        </w:rPr>
      </w:pPr>
    </w:p>
    <w:p w:rsidR="00EF0810" w:rsidRPr="00F62ECD" w:rsidRDefault="00EF0810" w:rsidP="009A7C21">
      <w:pPr>
        <w:widowControl w:val="0"/>
        <w:autoSpaceDE w:val="0"/>
        <w:autoSpaceDN w:val="0"/>
        <w:adjustRightInd w:val="0"/>
        <w:spacing w:line="276" w:lineRule="auto"/>
        <w:ind w:left="1276" w:hanging="709"/>
        <w:jc w:val="both"/>
        <w:rPr>
          <w:rFonts w:ascii="Tahoma" w:hAnsi="Tahoma" w:cs="Tahoma"/>
          <w:sz w:val="22"/>
          <w:szCs w:val="22"/>
        </w:rPr>
      </w:pPr>
    </w:p>
    <w:p w:rsidR="00BC7A24" w:rsidRPr="00F62ECD" w:rsidRDefault="00BC7A24" w:rsidP="009A7C21">
      <w:pPr>
        <w:spacing w:line="276" w:lineRule="auto"/>
        <w:jc w:val="both"/>
        <w:rPr>
          <w:rFonts w:ascii="Tahoma" w:hAnsi="Tahoma" w:cs="Tahoma"/>
          <w:color w:val="7F7F7F" w:themeColor="text1" w:themeTint="80"/>
          <w:sz w:val="22"/>
          <w:szCs w:val="22"/>
        </w:rPr>
      </w:pPr>
      <w:r w:rsidRPr="00F62ECD">
        <w:rPr>
          <w:rFonts w:ascii="Tahoma" w:hAnsi="Tahoma" w:cs="Tahoma"/>
          <w:b/>
          <w:bCs/>
          <w:sz w:val="22"/>
          <w:szCs w:val="22"/>
        </w:rPr>
        <w:t>ANÓTESE, COMUNÍQUESE Y PUBLÍQUESE EN EXTRACTO EN EL DIARIO OFICIAL E INTEGRAMENTE EN LA PÁGINA WEB DEL SERVICIO</w:t>
      </w:r>
    </w:p>
    <w:p w:rsidR="00BC7A24" w:rsidRPr="00F62ECD" w:rsidRDefault="00BC7A24" w:rsidP="009A7C21">
      <w:pPr>
        <w:spacing w:line="276" w:lineRule="auto"/>
        <w:rPr>
          <w:rFonts w:ascii="Tahoma" w:hAnsi="Tahoma" w:cs="Tahoma"/>
          <w:color w:val="7F7F7F" w:themeColor="text1" w:themeTint="80"/>
          <w:sz w:val="22"/>
          <w:szCs w:val="22"/>
          <w:lang w:val="es-CL"/>
        </w:rPr>
      </w:pPr>
    </w:p>
    <w:p w:rsidR="00BC7A24" w:rsidRPr="00F62ECD" w:rsidRDefault="00BC7A24" w:rsidP="009A7C21">
      <w:pPr>
        <w:spacing w:line="276" w:lineRule="auto"/>
        <w:rPr>
          <w:rFonts w:ascii="Tahoma" w:hAnsi="Tahoma" w:cs="Tahoma"/>
          <w:color w:val="7F7F7F" w:themeColor="text1" w:themeTint="80"/>
          <w:sz w:val="22"/>
          <w:szCs w:val="22"/>
          <w:lang w:val="es-CL"/>
        </w:rPr>
      </w:pPr>
    </w:p>
    <w:p w:rsidR="00BC7A24" w:rsidRPr="00F62ECD" w:rsidRDefault="00BC7A24" w:rsidP="009A7C21">
      <w:pPr>
        <w:spacing w:line="276" w:lineRule="auto"/>
        <w:rPr>
          <w:rFonts w:ascii="Tahoma" w:hAnsi="Tahoma" w:cs="Tahoma"/>
          <w:color w:val="7F7F7F" w:themeColor="text1" w:themeTint="80"/>
          <w:sz w:val="22"/>
          <w:szCs w:val="22"/>
          <w:lang w:val="es-CL"/>
        </w:rPr>
      </w:pPr>
    </w:p>
    <w:p w:rsidR="00BC7A24" w:rsidRPr="00F62ECD" w:rsidRDefault="00BC7A24" w:rsidP="009A7C21">
      <w:pPr>
        <w:spacing w:line="276" w:lineRule="auto"/>
        <w:rPr>
          <w:rFonts w:ascii="Tahoma" w:hAnsi="Tahoma" w:cs="Tahoma"/>
          <w:color w:val="7F7F7F" w:themeColor="text1" w:themeTint="80"/>
          <w:sz w:val="22"/>
          <w:szCs w:val="22"/>
          <w:lang w:val="es-CL"/>
        </w:rPr>
      </w:pPr>
    </w:p>
    <w:p w:rsidR="00BC7A24" w:rsidRPr="00F62ECD" w:rsidRDefault="00BC7A24" w:rsidP="00BC7A24">
      <w:pPr>
        <w:rPr>
          <w:rFonts w:ascii="Tahoma" w:hAnsi="Tahoma" w:cs="Tahoma"/>
          <w:color w:val="7F7F7F" w:themeColor="text1" w:themeTint="80"/>
          <w:sz w:val="22"/>
          <w:szCs w:val="22"/>
          <w:lang w:val="es-CL"/>
        </w:rPr>
      </w:pPr>
    </w:p>
    <w:p w:rsidR="00735205" w:rsidRPr="00F62ECD" w:rsidRDefault="00735205" w:rsidP="00BC7A24">
      <w:pPr>
        <w:rPr>
          <w:rFonts w:ascii="Tahoma" w:hAnsi="Tahoma" w:cs="Tahoma"/>
          <w:color w:val="7F7F7F" w:themeColor="text1" w:themeTint="80"/>
          <w:sz w:val="22"/>
          <w:szCs w:val="22"/>
          <w:lang w:val="es-CL"/>
        </w:rPr>
      </w:pPr>
    </w:p>
    <w:p w:rsidR="00907456" w:rsidRPr="00F62ECD" w:rsidRDefault="00907456" w:rsidP="00BC7A24">
      <w:pPr>
        <w:rPr>
          <w:rFonts w:ascii="Tahoma" w:hAnsi="Tahoma" w:cs="Tahoma"/>
          <w:color w:val="7F7F7F" w:themeColor="text1" w:themeTint="80"/>
          <w:sz w:val="22"/>
          <w:szCs w:val="22"/>
          <w:lang w:val="es-CL"/>
        </w:rPr>
      </w:pPr>
    </w:p>
    <w:p w:rsidR="00907456" w:rsidRPr="00F62ECD" w:rsidRDefault="00907456" w:rsidP="00BC7A24">
      <w:pPr>
        <w:rPr>
          <w:rFonts w:ascii="Tahoma" w:hAnsi="Tahoma" w:cs="Tahoma"/>
          <w:color w:val="7F7F7F" w:themeColor="text1" w:themeTint="80"/>
          <w:sz w:val="22"/>
          <w:szCs w:val="22"/>
          <w:lang w:val="es-CL"/>
        </w:rPr>
      </w:pPr>
    </w:p>
    <w:p w:rsidR="00907456" w:rsidRPr="00F62ECD" w:rsidRDefault="00907456" w:rsidP="00BC7A24">
      <w:pPr>
        <w:rPr>
          <w:rFonts w:ascii="Tahoma" w:hAnsi="Tahoma" w:cs="Tahoma"/>
          <w:color w:val="7F7F7F" w:themeColor="text1" w:themeTint="80"/>
          <w:sz w:val="22"/>
          <w:szCs w:val="22"/>
          <w:lang w:val="es-CL"/>
        </w:rPr>
      </w:pPr>
    </w:p>
    <w:p w:rsidR="00907456" w:rsidRPr="00F62ECD" w:rsidRDefault="00907456" w:rsidP="00BC7A24">
      <w:pPr>
        <w:rPr>
          <w:rFonts w:ascii="Tahoma" w:hAnsi="Tahoma" w:cs="Tahoma"/>
          <w:color w:val="7F7F7F" w:themeColor="text1" w:themeTint="80"/>
          <w:sz w:val="22"/>
          <w:szCs w:val="22"/>
          <w:lang w:val="es-CL"/>
        </w:rPr>
      </w:pPr>
    </w:p>
    <w:p w:rsidR="00907456" w:rsidRPr="00F62ECD" w:rsidRDefault="00907456" w:rsidP="00BC7A24">
      <w:pPr>
        <w:rPr>
          <w:rFonts w:ascii="Tahoma" w:hAnsi="Tahoma" w:cs="Tahoma"/>
          <w:color w:val="7F7F7F" w:themeColor="text1" w:themeTint="80"/>
          <w:sz w:val="22"/>
          <w:szCs w:val="22"/>
          <w:lang w:val="es-CL"/>
        </w:rPr>
      </w:pPr>
    </w:p>
    <w:p w:rsidR="00BC7A24" w:rsidRPr="00F62ECD" w:rsidRDefault="00BC7A24" w:rsidP="00BC7A24">
      <w:pPr>
        <w:rPr>
          <w:rFonts w:ascii="Tahoma" w:hAnsi="Tahoma" w:cs="Tahoma"/>
          <w:color w:val="7F7F7F" w:themeColor="text1" w:themeTint="80"/>
          <w:sz w:val="22"/>
          <w:szCs w:val="22"/>
          <w:lang w:val="es-CL"/>
        </w:rPr>
      </w:pPr>
    </w:p>
    <w:p w:rsidR="00BB1D81" w:rsidRPr="00F62ECD" w:rsidRDefault="00BB1D81" w:rsidP="00BC7A24">
      <w:pPr>
        <w:rPr>
          <w:rFonts w:ascii="Tahoma" w:hAnsi="Tahoma" w:cs="Tahoma"/>
          <w:color w:val="7F7F7F" w:themeColor="text1" w:themeTint="80"/>
          <w:sz w:val="22"/>
          <w:szCs w:val="22"/>
          <w:lang w:val="es-CL"/>
        </w:rPr>
      </w:pPr>
    </w:p>
    <w:p w:rsidR="008F014B" w:rsidRPr="00F62ECD" w:rsidRDefault="008F014B" w:rsidP="00BC7A24">
      <w:pPr>
        <w:rPr>
          <w:rFonts w:ascii="Tahoma" w:hAnsi="Tahoma" w:cs="Tahoma"/>
          <w:color w:val="7F7F7F" w:themeColor="text1" w:themeTint="80"/>
          <w:sz w:val="22"/>
          <w:szCs w:val="22"/>
          <w:lang w:val="es-CL"/>
        </w:rPr>
      </w:pPr>
    </w:p>
    <w:p w:rsidR="00BB1D81" w:rsidRPr="00F62ECD" w:rsidRDefault="00BB1D81" w:rsidP="00BC7A24">
      <w:pPr>
        <w:rPr>
          <w:rFonts w:ascii="Tahoma" w:hAnsi="Tahoma" w:cs="Tahoma"/>
          <w:color w:val="7F7F7F" w:themeColor="text1" w:themeTint="80"/>
          <w:sz w:val="22"/>
          <w:szCs w:val="22"/>
          <w:lang w:val="es-CL"/>
        </w:rPr>
      </w:pPr>
    </w:p>
    <w:p w:rsidR="00BB1D81" w:rsidRPr="00F62ECD" w:rsidRDefault="00BB1D81" w:rsidP="00BC7A24">
      <w:pPr>
        <w:rPr>
          <w:rFonts w:ascii="Tahoma" w:hAnsi="Tahoma" w:cs="Tahoma"/>
          <w:color w:val="7F7F7F" w:themeColor="text1" w:themeTint="80"/>
          <w:sz w:val="22"/>
          <w:szCs w:val="22"/>
          <w:lang w:val="es-CL"/>
        </w:rPr>
      </w:pPr>
    </w:p>
    <w:p w:rsidR="00BC7A24" w:rsidRPr="00F62ECD" w:rsidRDefault="00BC7A24" w:rsidP="00BC7A24">
      <w:pPr>
        <w:rPr>
          <w:rFonts w:ascii="Tahoma" w:hAnsi="Tahoma" w:cs="Tahoma"/>
          <w:b/>
          <w:color w:val="262626" w:themeColor="text1" w:themeTint="D9"/>
          <w:sz w:val="22"/>
          <w:szCs w:val="22"/>
          <w:lang w:val="en-US"/>
        </w:rPr>
      </w:pPr>
      <w:r w:rsidRPr="00F62ECD">
        <w:rPr>
          <w:rFonts w:ascii="Tahoma" w:hAnsi="Tahoma" w:cs="Tahoma"/>
          <w:b/>
          <w:color w:val="262626" w:themeColor="text1" w:themeTint="D9"/>
          <w:sz w:val="22"/>
          <w:szCs w:val="22"/>
          <w:lang w:val="en-US"/>
        </w:rPr>
        <w:t>GLH/KCI/CIC</w:t>
      </w:r>
    </w:p>
    <w:p w:rsidR="00BC7A24" w:rsidRPr="00F62ECD" w:rsidRDefault="00BC7A24" w:rsidP="00BC7A24">
      <w:pPr>
        <w:rPr>
          <w:rFonts w:ascii="Tahoma" w:hAnsi="Tahoma" w:cs="Tahoma"/>
          <w:color w:val="808080" w:themeColor="background1" w:themeShade="80"/>
          <w:sz w:val="22"/>
          <w:szCs w:val="22"/>
          <w:lang w:val="en-US"/>
        </w:rPr>
      </w:pPr>
      <w:r w:rsidRPr="00F62ECD">
        <w:rPr>
          <w:rFonts w:ascii="Tahoma" w:hAnsi="Tahoma" w:cs="Tahoma"/>
          <w:color w:val="808080" w:themeColor="background1" w:themeShade="80"/>
          <w:sz w:val="22"/>
          <w:szCs w:val="22"/>
          <w:lang w:val="en-US"/>
        </w:rPr>
        <w:t>C.c.:</w:t>
      </w:r>
    </w:p>
    <w:p w:rsidR="00BC7A24" w:rsidRPr="00F62ECD" w:rsidRDefault="00BC7A24" w:rsidP="00BC7A24">
      <w:pPr>
        <w:rPr>
          <w:rFonts w:ascii="Tahoma" w:hAnsi="Tahoma" w:cs="Tahoma"/>
          <w:color w:val="808080" w:themeColor="background1" w:themeShade="80"/>
          <w:sz w:val="22"/>
          <w:szCs w:val="22"/>
        </w:rPr>
      </w:pPr>
      <w:r w:rsidRPr="00F62ECD">
        <w:rPr>
          <w:rFonts w:ascii="Tahoma" w:hAnsi="Tahoma" w:cs="Tahoma"/>
          <w:color w:val="808080" w:themeColor="background1" w:themeShade="80"/>
          <w:sz w:val="22"/>
          <w:szCs w:val="22"/>
        </w:rPr>
        <w:t>- Direcciones Regionales y Administraciones de Aduana</w:t>
      </w:r>
    </w:p>
    <w:p w:rsidR="00EA32AB" w:rsidRPr="00F62ECD" w:rsidRDefault="00EA32AB" w:rsidP="00BC7A24">
      <w:pPr>
        <w:rPr>
          <w:rFonts w:ascii="Tahoma" w:hAnsi="Tahoma" w:cs="Tahoma"/>
          <w:color w:val="808080" w:themeColor="background1" w:themeShade="80"/>
          <w:sz w:val="22"/>
          <w:szCs w:val="22"/>
        </w:rPr>
      </w:pPr>
      <w:r w:rsidRPr="00F62ECD">
        <w:rPr>
          <w:rFonts w:ascii="Tahoma" w:hAnsi="Tahoma" w:cs="Tahoma"/>
          <w:color w:val="808080" w:themeColor="background1" w:themeShade="80"/>
          <w:sz w:val="22"/>
          <w:szCs w:val="22"/>
        </w:rPr>
        <w:t xml:space="preserve">- </w:t>
      </w:r>
      <w:proofErr w:type="spellStart"/>
      <w:r w:rsidRPr="00F62ECD">
        <w:rPr>
          <w:rFonts w:ascii="Tahoma" w:hAnsi="Tahoma" w:cs="Tahoma"/>
          <w:color w:val="808080" w:themeColor="background1" w:themeShade="80"/>
          <w:sz w:val="22"/>
          <w:szCs w:val="22"/>
        </w:rPr>
        <w:t>Subd</w:t>
      </w:r>
      <w:proofErr w:type="spellEnd"/>
      <w:r w:rsidRPr="00F62ECD">
        <w:rPr>
          <w:rFonts w:ascii="Tahoma" w:hAnsi="Tahoma" w:cs="Tahoma"/>
          <w:color w:val="808080" w:themeColor="background1" w:themeShade="80"/>
          <w:sz w:val="22"/>
          <w:szCs w:val="22"/>
        </w:rPr>
        <w:t>. y Deptos. D.N.A.</w:t>
      </w:r>
    </w:p>
    <w:p w:rsidR="00CE76CC" w:rsidRPr="00F62ECD" w:rsidRDefault="00CE76CC" w:rsidP="00735205">
      <w:pPr>
        <w:rPr>
          <w:rFonts w:ascii="Tahoma" w:hAnsi="Tahoma" w:cs="Tahoma"/>
          <w:color w:val="808080" w:themeColor="background1" w:themeShade="80"/>
          <w:sz w:val="22"/>
          <w:szCs w:val="22"/>
        </w:rPr>
      </w:pPr>
    </w:p>
    <w:p w:rsidR="00EA32AB" w:rsidRPr="00F62ECD" w:rsidRDefault="00EA32AB" w:rsidP="00735205">
      <w:pPr>
        <w:rPr>
          <w:rFonts w:ascii="Tahoma" w:hAnsi="Tahoma" w:cs="Tahoma"/>
          <w:sz w:val="22"/>
          <w:szCs w:val="22"/>
        </w:rPr>
      </w:pPr>
    </w:p>
    <w:sectPr w:rsidR="00EA32AB" w:rsidRPr="00F62ECD" w:rsidSect="008F014B">
      <w:headerReference w:type="default" r:id="rId8"/>
      <w:footerReference w:type="default" r:id="rId9"/>
      <w:pgSz w:w="12240" w:h="20160" w:code="5"/>
      <w:pgMar w:top="2268" w:right="1043" w:bottom="3686"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726" w:rsidRDefault="00561726" w:rsidP="009C340E">
      <w:r>
        <w:separator/>
      </w:r>
    </w:p>
  </w:endnote>
  <w:endnote w:type="continuationSeparator" w:id="0">
    <w:p w:rsidR="00561726" w:rsidRDefault="00561726"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00" w:rsidRDefault="00551B00"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2027B3E3" wp14:editId="2E2CD45F">
              <wp:simplePos x="0" y="0"/>
              <wp:positionH relativeFrom="margin">
                <wp:posOffset>-685800</wp:posOffset>
              </wp:positionH>
              <wp:positionV relativeFrom="paragraph">
                <wp:posOffset>9525</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F014B" w:rsidRDefault="008F014B" w:rsidP="00EE10A5">
                          <w:pPr>
                            <w:spacing w:line="180" w:lineRule="exact"/>
                            <w:rPr>
                              <w:rFonts w:ascii="Tahoma" w:eastAsia="Times New Roman" w:hAnsi="Tahoma" w:cs="Tahoma"/>
                              <w:color w:val="262626" w:themeColor="text1" w:themeTint="D9"/>
                              <w:sz w:val="13"/>
                              <w:szCs w:val="15"/>
                              <w:shd w:val="clear" w:color="auto" w:fill="FFFFFF"/>
                              <w:lang w:eastAsia="es-ES_tradnl"/>
                            </w:rPr>
                          </w:pPr>
                        </w:p>
                        <w:p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rsidR="002453EB" w:rsidRPr="00F83604"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83604">
                            <w:rPr>
                              <w:rFonts w:ascii="Tahoma" w:eastAsia="Times New Roman" w:hAnsi="Tahoma" w:cs="Tahoma"/>
                              <w:color w:val="262626" w:themeColor="text1" w:themeTint="D9"/>
                              <w:sz w:val="13"/>
                              <w:szCs w:val="15"/>
                              <w:shd w:val="clear" w:color="auto" w:fill="FFFFFF"/>
                              <w:lang w:val="es-CL" w:eastAsia="es-ES_tradnl"/>
                            </w:rPr>
                            <w:t xml:space="preserve">Valparaíso </w:t>
                          </w:r>
                        </w:p>
                        <w:p w:rsidR="002453EB" w:rsidRPr="00F83604"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7B3E3" id="_x0000_t202" coordsize="21600,21600" o:spt="202" path="m,l,21600r21600,l21600,xe">
              <v:stroke joinstyle="miter"/>
              <v:path gradientshapeok="t" o:connecttype="rect"/>
            </v:shapetype>
            <v:shape id="Cuadro de texto 11" o:spid="_x0000_s1029" type="#_x0000_t202" style="position:absolute;left:0;text-align:left;margin-left:-54pt;margin-top:.7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" filled="f" stroked="f">
              <v:textbox>
                <w:txbxContent>
                  <w:p w:rsidR="008F014B" w:rsidRDefault="008F014B" w:rsidP="00EE10A5">
                    <w:pPr>
                      <w:spacing w:line="180" w:lineRule="exact"/>
                      <w:rPr>
                        <w:rFonts w:ascii="Tahoma" w:eastAsia="Times New Roman" w:hAnsi="Tahoma" w:cs="Tahoma"/>
                        <w:color w:val="262626" w:themeColor="text1" w:themeTint="D9"/>
                        <w:sz w:val="13"/>
                        <w:szCs w:val="15"/>
                        <w:shd w:val="clear" w:color="auto" w:fill="FFFFFF"/>
                        <w:lang w:eastAsia="es-ES_tradnl"/>
                      </w:rPr>
                    </w:pPr>
                  </w:p>
                  <w:p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rsidR="002453EB" w:rsidRPr="00F83604"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83604">
                      <w:rPr>
                        <w:rFonts w:ascii="Tahoma" w:eastAsia="Times New Roman" w:hAnsi="Tahoma" w:cs="Tahoma"/>
                        <w:color w:val="262626" w:themeColor="text1" w:themeTint="D9"/>
                        <w:sz w:val="13"/>
                        <w:szCs w:val="15"/>
                        <w:shd w:val="clear" w:color="auto" w:fill="FFFFFF"/>
                        <w:lang w:val="es-CL" w:eastAsia="es-ES_tradnl"/>
                      </w:rPr>
                      <w:t xml:space="preserve">Valparaíso </w:t>
                    </w:r>
                  </w:p>
                  <w:p w:rsidR="002453EB" w:rsidRPr="00F83604"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70016" behindDoc="0" locked="0" layoutInCell="1" allowOverlap="1" wp14:anchorId="08DC103D" wp14:editId="7D67B1D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sidP="00A73758">
                          <w:pPr>
                            <w:jc w:val="right"/>
                          </w:pPr>
                          <w:r>
                            <w:rPr>
                              <w:noProof/>
                              <w:lang w:val="es-CL" w:eastAsia="es-CL"/>
                            </w:rPr>
                            <w:drawing>
                              <wp:inline distT="0" distB="0" distL="0" distR="0" wp14:anchorId="2E8BB95A" wp14:editId="41527B46">
                                <wp:extent cx="1726565" cy="402590"/>
                                <wp:effectExtent l="0" t="0" r="635" b="3810"/>
                                <wp:docPr id="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C103D"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rsidR="00551B00" w:rsidRDefault="00551B00" w:rsidP="00A73758">
                    <w:pPr>
                      <w:jc w:val="right"/>
                    </w:pPr>
                    <w:r>
                      <w:rPr>
                        <w:noProof/>
                        <w:lang w:val="es-CL" w:eastAsia="es-CL"/>
                      </w:rPr>
                      <w:drawing>
                        <wp:inline distT="0" distB="0" distL="0" distR="0" wp14:anchorId="2E8BB95A" wp14:editId="41527B46">
                          <wp:extent cx="1726565" cy="402590"/>
                          <wp:effectExtent l="0" t="0" r="635" b="3810"/>
                          <wp:docPr id="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rsidR="00551B00" w:rsidRDefault="00551B00" w:rsidP="00287A9E">
    <w:pPr>
      <w:pStyle w:val="Piedepgina"/>
      <w:ind w:left="-993"/>
    </w:pPr>
  </w:p>
  <w:p w:rsidR="00551B00" w:rsidRDefault="00551B00"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0E1DD84D" wp14:editId="29FFC423">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51B00" w:rsidRPr="00A73758" w:rsidRDefault="00551B0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D84D"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" filled="f" stroked="f">
              <v:textbox>
                <w:txbxContent>
                  <w:p w:rsidR="00551B00" w:rsidRPr="00A73758" w:rsidRDefault="00551B00">
                    <w:pPr>
                      <w:rPr>
                        <w:sz w:val="20"/>
                      </w:rPr>
                    </w:pPr>
                  </w:p>
                </w:txbxContent>
              </v:textbox>
            </v:shape>
          </w:pict>
        </mc:Fallback>
      </mc:AlternateContent>
    </w:r>
  </w:p>
  <w:p w:rsidR="00551B00" w:rsidRDefault="00551B00" w:rsidP="00287A9E">
    <w:pPr>
      <w:pStyle w:val="Piedepgina"/>
      <w:ind w:left="-993"/>
    </w:pPr>
  </w:p>
  <w:p w:rsidR="00551B00" w:rsidRDefault="008F014B" w:rsidP="00287A9E">
    <w:pPr>
      <w:pStyle w:val="Piedepgina"/>
      <w:ind w:left="-993"/>
    </w:pPr>
    <w:r>
      <w:rPr>
        <w:noProof/>
        <w:sz w:val="20"/>
        <w:lang w:val="es-CL" w:eastAsia="es-CL"/>
      </w:rPr>
      <w:drawing>
        <wp:inline distT="0" distB="0" distL="0" distR="0" wp14:anchorId="5414351A" wp14:editId="2645FDBD">
          <wp:extent cx="960120" cy="75811"/>
          <wp:effectExtent l="0" t="0" r="5080" b="635"/>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726" w:rsidRDefault="00561726" w:rsidP="009C340E">
      <w:r>
        <w:separator/>
      </w:r>
    </w:p>
  </w:footnote>
  <w:footnote w:type="continuationSeparator" w:id="0">
    <w:p w:rsidR="00561726" w:rsidRDefault="00561726"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14B" w:rsidRDefault="008F014B" w:rsidP="00287A9E">
    <w:pPr>
      <w:pStyle w:val="Encabezado"/>
      <w:spacing w:line="120" w:lineRule="auto"/>
      <w:ind w:left="-993"/>
    </w:pPr>
  </w:p>
  <w:p w:rsidR="008F014B" w:rsidRDefault="008F014B" w:rsidP="00287A9E">
    <w:pPr>
      <w:pStyle w:val="Encabezado"/>
      <w:spacing w:line="120" w:lineRule="auto"/>
      <w:ind w:left="-993"/>
    </w:pPr>
  </w:p>
  <w:p w:rsidR="008F014B" w:rsidRDefault="008F014B" w:rsidP="00287A9E">
    <w:pPr>
      <w:pStyle w:val="Encabezado"/>
      <w:spacing w:line="120" w:lineRule="auto"/>
      <w:ind w:left="-993"/>
    </w:pPr>
  </w:p>
  <w:p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6BB1CA3D" wp14:editId="1EA87EB9">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 w:rsidRPr="00FA5EBD">
                            <w:rPr>
                              <w:noProof/>
                              <w:lang w:val="es-CL" w:eastAsia="es-CL"/>
                            </w:rPr>
                            <w:drawing>
                              <wp:inline distT="0" distB="0" distL="0" distR="0" wp14:anchorId="7938D92F" wp14:editId="14F0DE2E">
                                <wp:extent cx="960120" cy="189764"/>
                                <wp:effectExtent l="0" t="0" r="5080" b="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1CA3D"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rsidR="00551B00" w:rsidRDefault="00551B00">
                    <w:r w:rsidRPr="00FA5EBD">
                      <w:rPr>
                        <w:noProof/>
                        <w:lang w:val="es-CL" w:eastAsia="es-CL"/>
                      </w:rPr>
                      <w:drawing>
                        <wp:inline distT="0" distB="0" distL="0" distR="0" wp14:anchorId="7938D92F" wp14:editId="14F0DE2E">
                          <wp:extent cx="960120" cy="189764"/>
                          <wp:effectExtent l="0" t="0" r="5080" b="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41123CB9" wp14:editId="73B063E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
                            <w:rPr>
                              <w:noProof/>
                              <w:lang w:val="es-CL" w:eastAsia="es-CL"/>
                            </w:rPr>
                            <w:drawing>
                              <wp:inline distT="0" distB="0" distL="0" distR="0" wp14:anchorId="77885928" wp14:editId="44D15A8D">
                                <wp:extent cx="1618175" cy="490161"/>
                                <wp:effectExtent l="0" t="0" r="7620" b="0"/>
                                <wp:docPr id="57" name="Imagen 57"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123CB9"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rsidR="00551B00" w:rsidRDefault="00551B00">
                    <w:r>
                      <w:rPr>
                        <w:noProof/>
                        <w:lang w:val="es-CL" w:eastAsia="es-CL"/>
                      </w:rPr>
                      <w:drawing>
                        <wp:inline distT="0" distB="0" distL="0" distR="0" wp14:anchorId="77885928" wp14:editId="44D15A8D">
                          <wp:extent cx="1618175" cy="490161"/>
                          <wp:effectExtent l="0" t="0" r="7620" b="0"/>
                          <wp:docPr id="57" name="Imagen 57"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50F5F8A0" wp14:editId="074FEC44">
              <wp:simplePos x="0" y="0"/>
              <wp:positionH relativeFrom="column">
                <wp:posOffset>-685165</wp:posOffset>
              </wp:positionH>
              <wp:positionV relativeFrom="paragraph">
                <wp:posOffset>125730</wp:posOffset>
              </wp:positionV>
              <wp:extent cx="177165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7716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rsidR="00F83604" w:rsidRPr="0075481F" w:rsidRDefault="00F83604" w:rsidP="00F83604">
                          <w:pPr>
                            <w:spacing w:line="180" w:lineRule="exact"/>
                            <w:rPr>
                              <w:rFonts w:ascii="Tahoma" w:eastAsia="Times New Roman" w:hAnsi="Tahoma" w:cs="Tahoma"/>
                              <w:color w:val="000000"/>
                              <w:sz w:val="15"/>
                              <w:lang w:val="es-ES" w:eastAsia="es-ES_tradnl"/>
                            </w:rPr>
                          </w:pPr>
                          <w:r w:rsidRPr="0075481F">
                            <w:rPr>
                              <w:rFonts w:ascii="Tahoma" w:eastAsia="Times New Roman" w:hAnsi="Tahoma" w:cs="Tahoma"/>
                              <w:color w:val="404040"/>
                              <w:sz w:val="15"/>
                              <w:lang w:val="es-ES" w:eastAsia="es-ES_tradnl"/>
                            </w:rPr>
                            <w:t>Departamento Normas Aduaneras</w:t>
                          </w:r>
                        </w:p>
                        <w:p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F8A0" id="Cuadro de texto 10" o:spid="_x0000_s1028" type="#_x0000_t202" style="position:absolute;left:0;text-align:left;margin-left:-53.95pt;margin-top:9.9pt;width:13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" filled="f" stroked="f">
              <v:textbox>
                <w:txbxContent>
                  <w:p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rsidR="00F83604" w:rsidRPr="0075481F" w:rsidRDefault="00F83604" w:rsidP="00F83604">
                    <w:pPr>
                      <w:spacing w:line="180" w:lineRule="exact"/>
                      <w:rPr>
                        <w:rFonts w:ascii="Tahoma" w:eastAsia="Times New Roman" w:hAnsi="Tahoma" w:cs="Tahoma"/>
                        <w:color w:val="000000"/>
                        <w:sz w:val="15"/>
                        <w:lang w:val="es-ES" w:eastAsia="es-ES_tradnl"/>
                      </w:rPr>
                    </w:pPr>
                    <w:r w:rsidRPr="0075481F">
                      <w:rPr>
                        <w:rFonts w:ascii="Tahoma" w:eastAsia="Times New Roman" w:hAnsi="Tahoma" w:cs="Tahoma"/>
                        <w:color w:val="404040"/>
                        <w:sz w:val="15"/>
                        <w:lang w:val="es-ES" w:eastAsia="es-ES_tradnl"/>
                      </w:rPr>
                      <w:t>Departamento Normas Aduaneras</w:t>
                    </w:r>
                  </w:p>
                  <w:p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A1D12"/>
    <w:multiLevelType w:val="hybridMultilevel"/>
    <w:tmpl w:val="2228D48C"/>
    <w:lvl w:ilvl="0" w:tplc="75361D02">
      <w:start w:val="1"/>
      <w:numFmt w:val="upperRoman"/>
      <w:lvlText w:val="%1."/>
      <w:lvlJc w:val="left"/>
      <w:pPr>
        <w:ind w:left="2781" w:hanging="720"/>
      </w:pPr>
      <w:rPr>
        <w:rFonts w:hint="default"/>
        <w:b/>
      </w:rPr>
    </w:lvl>
    <w:lvl w:ilvl="1" w:tplc="340A0019">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1" w15:restartNumberingAfterBreak="0">
    <w:nsid w:val="3638523B"/>
    <w:multiLevelType w:val="hybridMultilevel"/>
    <w:tmpl w:val="45D2D69C"/>
    <w:lvl w:ilvl="0" w:tplc="B6E04602">
      <w:start w:val="1"/>
      <w:numFmt w:val="decimal"/>
      <w:lvlText w:val="%1."/>
      <w:lvlJc w:val="left"/>
      <w:pPr>
        <w:ind w:left="927" w:hanging="360"/>
      </w:pPr>
      <w:rPr>
        <w:rFonts w:hint="default"/>
        <w:b/>
        <w:sz w:val="22"/>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 w15:restartNumberingAfterBreak="0">
    <w:nsid w:val="41B32752"/>
    <w:multiLevelType w:val="hybridMultilevel"/>
    <w:tmpl w:val="377879E2"/>
    <w:lvl w:ilvl="0" w:tplc="ECB0AD8A">
      <w:start w:val="1"/>
      <w:numFmt w:val="decimal"/>
      <w:lvlText w:val="%1."/>
      <w:lvlJc w:val="left"/>
      <w:pPr>
        <w:ind w:left="1069" w:hanging="360"/>
      </w:pPr>
      <w:rPr>
        <w:rFonts w:hint="default"/>
        <w:b w:val="0"/>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3" w15:restartNumberingAfterBreak="0">
    <w:nsid w:val="4DE515F3"/>
    <w:multiLevelType w:val="hybridMultilevel"/>
    <w:tmpl w:val="97DA2E44"/>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4" w15:restartNumberingAfterBreak="0">
    <w:nsid w:val="4E170673"/>
    <w:multiLevelType w:val="hybridMultilevel"/>
    <w:tmpl w:val="45D2D69C"/>
    <w:lvl w:ilvl="0" w:tplc="B6E04602">
      <w:start w:val="1"/>
      <w:numFmt w:val="decimal"/>
      <w:lvlText w:val="%1."/>
      <w:lvlJc w:val="left"/>
      <w:pPr>
        <w:ind w:left="927" w:hanging="360"/>
      </w:pPr>
      <w:rPr>
        <w:rFonts w:hint="default"/>
        <w:b/>
        <w:sz w:val="22"/>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15:restartNumberingAfterBreak="0">
    <w:nsid w:val="6A436825"/>
    <w:multiLevelType w:val="hybridMultilevel"/>
    <w:tmpl w:val="3FAC22B6"/>
    <w:lvl w:ilvl="0" w:tplc="2D50BE2A">
      <w:start w:val="1"/>
      <w:numFmt w:val="decimal"/>
      <w:lvlText w:val="%1."/>
      <w:lvlJc w:val="left"/>
      <w:pPr>
        <w:ind w:left="927" w:hanging="360"/>
      </w:pPr>
      <w:rPr>
        <w:rFonts w:hint="default"/>
        <w:b/>
        <w:bCs/>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15:restartNumberingAfterBreak="0">
    <w:nsid w:val="6AEC3890"/>
    <w:multiLevelType w:val="hybridMultilevel"/>
    <w:tmpl w:val="62E6A11C"/>
    <w:lvl w:ilvl="0" w:tplc="9AA4F422">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7"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7956582"/>
    <w:multiLevelType w:val="hybridMultilevel"/>
    <w:tmpl w:val="91B2D2EE"/>
    <w:lvl w:ilvl="0" w:tplc="FE40A904">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num w:numId="1">
    <w:abstractNumId w:val="7"/>
  </w:num>
  <w:num w:numId="2">
    <w:abstractNumId w:val="0"/>
  </w:num>
  <w:num w:numId="3">
    <w:abstractNumId w:val="6"/>
  </w:num>
  <w:num w:numId="4">
    <w:abstractNumId w:val="1"/>
  </w:num>
  <w:num w:numId="5">
    <w:abstractNumId w:val="4"/>
  </w:num>
  <w:num w:numId="6">
    <w:abstractNumId w:val="3"/>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15823"/>
    <w:rsid w:val="00023D21"/>
    <w:rsid w:val="00024476"/>
    <w:rsid w:val="00052F83"/>
    <w:rsid w:val="00053EBE"/>
    <w:rsid w:val="00062D0A"/>
    <w:rsid w:val="000659F2"/>
    <w:rsid w:val="000663E9"/>
    <w:rsid w:val="000727D8"/>
    <w:rsid w:val="000823B7"/>
    <w:rsid w:val="00096404"/>
    <w:rsid w:val="000C049C"/>
    <w:rsid w:val="000C2410"/>
    <w:rsid w:val="000D3B4E"/>
    <w:rsid w:val="000D548F"/>
    <w:rsid w:val="000E0A86"/>
    <w:rsid w:val="000F35E7"/>
    <w:rsid w:val="001013AF"/>
    <w:rsid w:val="00115137"/>
    <w:rsid w:val="00125BC1"/>
    <w:rsid w:val="0012682C"/>
    <w:rsid w:val="00130494"/>
    <w:rsid w:val="001309B3"/>
    <w:rsid w:val="00146675"/>
    <w:rsid w:val="0015395A"/>
    <w:rsid w:val="001620E5"/>
    <w:rsid w:val="00166A17"/>
    <w:rsid w:val="00171C98"/>
    <w:rsid w:val="00186BC5"/>
    <w:rsid w:val="0019094B"/>
    <w:rsid w:val="00190993"/>
    <w:rsid w:val="00193557"/>
    <w:rsid w:val="001A1D61"/>
    <w:rsid w:val="001B354E"/>
    <w:rsid w:val="001C6ACB"/>
    <w:rsid w:val="001E074C"/>
    <w:rsid w:val="001E0E73"/>
    <w:rsid w:val="001E3ED1"/>
    <w:rsid w:val="001E4F6E"/>
    <w:rsid w:val="001F7575"/>
    <w:rsid w:val="00204079"/>
    <w:rsid w:val="00210B44"/>
    <w:rsid w:val="00221963"/>
    <w:rsid w:val="00234D34"/>
    <w:rsid w:val="0024255F"/>
    <w:rsid w:val="002453EB"/>
    <w:rsid w:val="0024581A"/>
    <w:rsid w:val="00255493"/>
    <w:rsid w:val="00263637"/>
    <w:rsid w:val="00266DF9"/>
    <w:rsid w:val="00267B74"/>
    <w:rsid w:val="0027084A"/>
    <w:rsid w:val="00281997"/>
    <w:rsid w:val="002841B0"/>
    <w:rsid w:val="00286AEB"/>
    <w:rsid w:val="00287A9E"/>
    <w:rsid w:val="00290C00"/>
    <w:rsid w:val="002B0088"/>
    <w:rsid w:val="002D3545"/>
    <w:rsid w:val="002E3C95"/>
    <w:rsid w:val="002F7DA3"/>
    <w:rsid w:val="00305938"/>
    <w:rsid w:val="00316E9C"/>
    <w:rsid w:val="00331D31"/>
    <w:rsid w:val="00337AA7"/>
    <w:rsid w:val="003441F3"/>
    <w:rsid w:val="00355FB2"/>
    <w:rsid w:val="003673F5"/>
    <w:rsid w:val="00373858"/>
    <w:rsid w:val="0038036B"/>
    <w:rsid w:val="00383BC8"/>
    <w:rsid w:val="00395383"/>
    <w:rsid w:val="003A1DA5"/>
    <w:rsid w:val="003A23B9"/>
    <w:rsid w:val="003A7A30"/>
    <w:rsid w:val="003B3491"/>
    <w:rsid w:val="003C4732"/>
    <w:rsid w:val="003D21ED"/>
    <w:rsid w:val="003E0D46"/>
    <w:rsid w:val="003E2C1A"/>
    <w:rsid w:val="003F0C15"/>
    <w:rsid w:val="003F4BA3"/>
    <w:rsid w:val="004043B5"/>
    <w:rsid w:val="0042091F"/>
    <w:rsid w:val="00422EA1"/>
    <w:rsid w:val="00426550"/>
    <w:rsid w:val="00445EA0"/>
    <w:rsid w:val="00465553"/>
    <w:rsid w:val="00485870"/>
    <w:rsid w:val="00494D66"/>
    <w:rsid w:val="00495B22"/>
    <w:rsid w:val="0049788F"/>
    <w:rsid w:val="004A0584"/>
    <w:rsid w:val="004A63B0"/>
    <w:rsid w:val="004B2B6C"/>
    <w:rsid w:val="004B2DBC"/>
    <w:rsid w:val="004C2417"/>
    <w:rsid w:val="004D186E"/>
    <w:rsid w:val="004D1CD8"/>
    <w:rsid w:val="004D27A3"/>
    <w:rsid w:val="004D5B13"/>
    <w:rsid w:val="004D7A15"/>
    <w:rsid w:val="004E03F0"/>
    <w:rsid w:val="004E32E0"/>
    <w:rsid w:val="004E7872"/>
    <w:rsid w:val="004F7C59"/>
    <w:rsid w:val="005017E0"/>
    <w:rsid w:val="00511F63"/>
    <w:rsid w:val="0051688E"/>
    <w:rsid w:val="00517F4D"/>
    <w:rsid w:val="00522BAC"/>
    <w:rsid w:val="00527BF2"/>
    <w:rsid w:val="00540297"/>
    <w:rsid w:val="00545BB3"/>
    <w:rsid w:val="0054611C"/>
    <w:rsid w:val="00551B00"/>
    <w:rsid w:val="0055761D"/>
    <w:rsid w:val="00557CA9"/>
    <w:rsid w:val="00561726"/>
    <w:rsid w:val="0057683E"/>
    <w:rsid w:val="00585DF2"/>
    <w:rsid w:val="00592D40"/>
    <w:rsid w:val="005944EC"/>
    <w:rsid w:val="005A4707"/>
    <w:rsid w:val="005C0373"/>
    <w:rsid w:val="005D389B"/>
    <w:rsid w:val="005E371D"/>
    <w:rsid w:val="005E4352"/>
    <w:rsid w:val="005F746B"/>
    <w:rsid w:val="00610073"/>
    <w:rsid w:val="006130E9"/>
    <w:rsid w:val="006204F5"/>
    <w:rsid w:val="00636028"/>
    <w:rsid w:val="00650A47"/>
    <w:rsid w:val="00650BBE"/>
    <w:rsid w:val="006568E4"/>
    <w:rsid w:val="0066319E"/>
    <w:rsid w:val="00664AD7"/>
    <w:rsid w:val="00664D45"/>
    <w:rsid w:val="00665134"/>
    <w:rsid w:val="0067218B"/>
    <w:rsid w:val="00684164"/>
    <w:rsid w:val="00686E59"/>
    <w:rsid w:val="00691291"/>
    <w:rsid w:val="006956B8"/>
    <w:rsid w:val="006A50B4"/>
    <w:rsid w:val="006A7C90"/>
    <w:rsid w:val="006B23E0"/>
    <w:rsid w:val="006B3EE0"/>
    <w:rsid w:val="006D1618"/>
    <w:rsid w:val="006D347C"/>
    <w:rsid w:val="006E2352"/>
    <w:rsid w:val="006F36B0"/>
    <w:rsid w:val="006F679F"/>
    <w:rsid w:val="006F7CCD"/>
    <w:rsid w:val="0072329D"/>
    <w:rsid w:val="00725BDD"/>
    <w:rsid w:val="00731D29"/>
    <w:rsid w:val="00731FFB"/>
    <w:rsid w:val="00732F53"/>
    <w:rsid w:val="007333FB"/>
    <w:rsid w:val="00734042"/>
    <w:rsid w:val="00735205"/>
    <w:rsid w:val="007426F1"/>
    <w:rsid w:val="007432C4"/>
    <w:rsid w:val="007520E6"/>
    <w:rsid w:val="00757458"/>
    <w:rsid w:val="00770782"/>
    <w:rsid w:val="0078240B"/>
    <w:rsid w:val="00793D3D"/>
    <w:rsid w:val="0079716A"/>
    <w:rsid w:val="007A1EF9"/>
    <w:rsid w:val="007A59B3"/>
    <w:rsid w:val="007B01CD"/>
    <w:rsid w:val="007B0F24"/>
    <w:rsid w:val="007B4829"/>
    <w:rsid w:val="007B4C77"/>
    <w:rsid w:val="007B5951"/>
    <w:rsid w:val="007C0A8D"/>
    <w:rsid w:val="007C36D0"/>
    <w:rsid w:val="007C473B"/>
    <w:rsid w:val="007C54A4"/>
    <w:rsid w:val="007C603B"/>
    <w:rsid w:val="007D0D8A"/>
    <w:rsid w:val="007E539E"/>
    <w:rsid w:val="007F2335"/>
    <w:rsid w:val="00800C87"/>
    <w:rsid w:val="00810CC9"/>
    <w:rsid w:val="00815AA4"/>
    <w:rsid w:val="00837187"/>
    <w:rsid w:val="00851EEE"/>
    <w:rsid w:val="008547D1"/>
    <w:rsid w:val="00855B1D"/>
    <w:rsid w:val="008620DF"/>
    <w:rsid w:val="00863B54"/>
    <w:rsid w:val="00865790"/>
    <w:rsid w:val="00867BE3"/>
    <w:rsid w:val="00870080"/>
    <w:rsid w:val="00872065"/>
    <w:rsid w:val="00874133"/>
    <w:rsid w:val="008827F9"/>
    <w:rsid w:val="00896EB3"/>
    <w:rsid w:val="008A1F18"/>
    <w:rsid w:val="008A6267"/>
    <w:rsid w:val="008B1164"/>
    <w:rsid w:val="008C04E1"/>
    <w:rsid w:val="008C3277"/>
    <w:rsid w:val="008C587C"/>
    <w:rsid w:val="008C6A67"/>
    <w:rsid w:val="008D4EAF"/>
    <w:rsid w:val="008D50AC"/>
    <w:rsid w:val="008D6C30"/>
    <w:rsid w:val="008E2A09"/>
    <w:rsid w:val="008F014B"/>
    <w:rsid w:val="008F5AF2"/>
    <w:rsid w:val="00907456"/>
    <w:rsid w:val="009119D0"/>
    <w:rsid w:val="009163D2"/>
    <w:rsid w:val="0092216A"/>
    <w:rsid w:val="00924E67"/>
    <w:rsid w:val="0092656C"/>
    <w:rsid w:val="00926D64"/>
    <w:rsid w:val="0094090C"/>
    <w:rsid w:val="009459F3"/>
    <w:rsid w:val="009463B4"/>
    <w:rsid w:val="0095738B"/>
    <w:rsid w:val="0096217E"/>
    <w:rsid w:val="0096532A"/>
    <w:rsid w:val="009673D1"/>
    <w:rsid w:val="009706FD"/>
    <w:rsid w:val="00972D00"/>
    <w:rsid w:val="00974CAC"/>
    <w:rsid w:val="0098297C"/>
    <w:rsid w:val="009848C3"/>
    <w:rsid w:val="0099009D"/>
    <w:rsid w:val="00991434"/>
    <w:rsid w:val="00994587"/>
    <w:rsid w:val="009952FB"/>
    <w:rsid w:val="009A1EE2"/>
    <w:rsid w:val="009A7C21"/>
    <w:rsid w:val="009C1123"/>
    <w:rsid w:val="009C340E"/>
    <w:rsid w:val="009C4B20"/>
    <w:rsid w:val="009C4CFB"/>
    <w:rsid w:val="009D3FBB"/>
    <w:rsid w:val="009E7F9A"/>
    <w:rsid w:val="009F0C41"/>
    <w:rsid w:val="009F138F"/>
    <w:rsid w:val="009F571B"/>
    <w:rsid w:val="009F7C7B"/>
    <w:rsid w:val="00A026D2"/>
    <w:rsid w:val="00A24C00"/>
    <w:rsid w:val="00A30785"/>
    <w:rsid w:val="00A30962"/>
    <w:rsid w:val="00A41A77"/>
    <w:rsid w:val="00A44B93"/>
    <w:rsid w:val="00A612D5"/>
    <w:rsid w:val="00A66C9C"/>
    <w:rsid w:val="00A73758"/>
    <w:rsid w:val="00A76602"/>
    <w:rsid w:val="00A83DDE"/>
    <w:rsid w:val="00A84A01"/>
    <w:rsid w:val="00A94868"/>
    <w:rsid w:val="00A951B7"/>
    <w:rsid w:val="00A95A69"/>
    <w:rsid w:val="00AA3934"/>
    <w:rsid w:val="00AA4B65"/>
    <w:rsid w:val="00AA7706"/>
    <w:rsid w:val="00AB279E"/>
    <w:rsid w:val="00AB3DE4"/>
    <w:rsid w:val="00AC1C4A"/>
    <w:rsid w:val="00AC3F15"/>
    <w:rsid w:val="00AD1E08"/>
    <w:rsid w:val="00AE4D1F"/>
    <w:rsid w:val="00AF17EA"/>
    <w:rsid w:val="00AF2C4C"/>
    <w:rsid w:val="00AF5304"/>
    <w:rsid w:val="00B11BA4"/>
    <w:rsid w:val="00B17FBE"/>
    <w:rsid w:val="00B271BB"/>
    <w:rsid w:val="00B2743B"/>
    <w:rsid w:val="00B42501"/>
    <w:rsid w:val="00B46302"/>
    <w:rsid w:val="00B537C2"/>
    <w:rsid w:val="00B92556"/>
    <w:rsid w:val="00BA5FBF"/>
    <w:rsid w:val="00BB1D81"/>
    <w:rsid w:val="00BB2F5A"/>
    <w:rsid w:val="00BB5299"/>
    <w:rsid w:val="00BB7E3F"/>
    <w:rsid w:val="00BC0908"/>
    <w:rsid w:val="00BC2D8D"/>
    <w:rsid w:val="00BC3C1F"/>
    <w:rsid w:val="00BC4353"/>
    <w:rsid w:val="00BC7A24"/>
    <w:rsid w:val="00BE053F"/>
    <w:rsid w:val="00BE0A2D"/>
    <w:rsid w:val="00BE2A37"/>
    <w:rsid w:val="00BE3ED1"/>
    <w:rsid w:val="00BF5FFD"/>
    <w:rsid w:val="00C165B0"/>
    <w:rsid w:val="00C32763"/>
    <w:rsid w:val="00C35540"/>
    <w:rsid w:val="00C57414"/>
    <w:rsid w:val="00C718C5"/>
    <w:rsid w:val="00C77BCD"/>
    <w:rsid w:val="00C81BF2"/>
    <w:rsid w:val="00C8598F"/>
    <w:rsid w:val="00C9127B"/>
    <w:rsid w:val="00C97D2F"/>
    <w:rsid w:val="00CA36A2"/>
    <w:rsid w:val="00CA669C"/>
    <w:rsid w:val="00CB64E2"/>
    <w:rsid w:val="00CC04B1"/>
    <w:rsid w:val="00CC2F96"/>
    <w:rsid w:val="00CC68B4"/>
    <w:rsid w:val="00CE76CC"/>
    <w:rsid w:val="00CF41B4"/>
    <w:rsid w:val="00CF68AF"/>
    <w:rsid w:val="00D04BFB"/>
    <w:rsid w:val="00D07BD5"/>
    <w:rsid w:val="00D15398"/>
    <w:rsid w:val="00D1584F"/>
    <w:rsid w:val="00D15B98"/>
    <w:rsid w:val="00D1662D"/>
    <w:rsid w:val="00D21E23"/>
    <w:rsid w:val="00D31925"/>
    <w:rsid w:val="00D40B72"/>
    <w:rsid w:val="00D414D1"/>
    <w:rsid w:val="00D47476"/>
    <w:rsid w:val="00D70DA4"/>
    <w:rsid w:val="00D732B0"/>
    <w:rsid w:val="00D8561C"/>
    <w:rsid w:val="00D9419B"/>
    <w:rsid w:val="00DB065C"/>
    <w:rsid w:val="00DB784B"/>
    <w:rsid w:val="00DC7B01"/>
    <w:rsid w:val="00DD635A"/>
    <w:rsid w:val="00DF2EEA"/>
    <w:rsid w:val="00DF42E3"/>
    <w:rsid w:val="00E038E0"/>
    <w:rsid w:val="00E04A5C"/>
    <w:rsid w:val="00E16AB4"/>
    <w:rsid w:val="00E22C8B"/>
    <w:rsid w:val="00E23E81"/>
    <w:rsid w:val="00E264E4"/>
    <w:rsid w:val="00E26A28"/>
    <w:rsid w:val="00E32E2F"/>
    <w:rsid w:val="00E333DA"/>
    <w:rsid w:val="00E33E9F"/>
    <w:rsid w:val="00E4032C"/>
    <w:rsid w:val="00E45C37"/>
    <w:rsid w:val="00E52854"/>
    <w:rsid w:val="00E56C85"/>
    <w:rsid w:val="00E637B1"/>
    <w:rsid w:val="00E63917"/>
    <w:rsid w:val="00E70CF1"/>
    <w:rsid w:val="00EA18D7"/>
    <w:rsid w:val="00EA32AB"/>
    <w:rsid w:val="00EA35B1"/>
    <w:rsid w:val="00EA4931"/>
    <w:rsid w:val="00EB7163"/>
    <w:rsid w:val="00EC0BAC"/>
    <w:rsid w:val="00EC2297"/>
    <w:rsid w:val="00EC4529"/>
    <w:rsid w:val="00EC5C63"/>
    <w:rsid w:val="00EC6085"/>
    <w:rsid w:val="00ED2423"/>
    <w:rsid w:val="00ED3995"/>
    <w:rsid w:val="00ED4D0F"/>
    <w:rsid w:val="00ED5D2F"/>
    <w:rsid w:val="00EE00A5"/>
    <w:rsid w:val="00EE10A5"/>
    <w:rsid w:val="00EF0810"/>
    <w:rsid w:val="00EF125D"/>
    <w:rsid w:val="00EF73EA"/>
    <w:rsid w:val="00F03C93"/>
    <w:rsid w:val="00F0694C"/>
    <w:rsid w:val="00F17C67"/>
    <w:rsid w:val="00F302C5"/>
    <w:rsid w:val="00F31589"/>
    <w:rsid w:val="00F32E61"/>
    <w:rsid w:val="00F35A57"/>
    <w:rsid w:val="00F42EA7"/>
    <w:rsid w:val="00F577A0"/>
    <w:rsid w:val="00F62CBC"/>
    <w:rsid w:val="00F62ECD"/>
    <w:rsid w:val="00F64F18"/>
    <w:rsid w:val="00F76E13"/>
    <w:rsid w:val="00F80076"/>
    <w:rsid w:val="00F81AD0"/>
    <w:rsid w:val="00F83604"/>
    <w:rsid w:val="00F85599"/>
    <w:rsid w:val="00F959D0"/>
    <w:rsid w:val="00F97BE5"/>
    <w:rsid w:val="00FA3F29"/>
    <w:rsid w:val="00FA5EBD"/>
    <w:rsid w:val="00FB1BD5"/>
    <w:rsid w:val="00FB7100"/>
    <w:rsid w:val="00FC1203"/>
    <w:rsid w:val="00FC3AD8"/>
    <w:rsid w:val="00FC6B10"/>
    <w:rsid w:val="00FD0AD9"/>
    <w:rsid w:val="00FD1F03"/>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2F7E2A"/>
  <w15:docId w15:val="{4342FCF6-ABD7-43C9-A833-722E2223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A63B0"/>
    <w:pPr>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styleId="Textoennegrita">
    <w:name w:val="Strong"/>
    <w:basedOn w:val="Fuentedeprrafopredeter"/>
    <w:uiPriority w:val="22"/>
    <w:qFormat/>
    <w:rsid w:val="00972D00"/>
    <w:rPr>
      <w:b/>
      <w:bCs/>
    </w:rPr>
  </w:style>
  <w:style w:type="paragraph" w:styleId="NormalWeb">
    <w:name w:val="Normal (Web)"/>
    <w:basedOn w:val="Normal"/>
    <w:uiPriority w:val="99"/>
    <w:unhideWhenUsed/>
    <w:rsid w:val="00E70CF1"/>
    <w:pPr>
      <w:spacing w:before="100" w:beforeAutospacing="1" w:after="100" w:afterAutospacing="1"/>
    </w:pPr>
    <w:rPr>
      <w:rFonts w:ascii="Times New Roman" w:eastAsia="Times New Roman" w:hAnsi="Times New Roman" w:cs="Times New Roman"/>
      <w:lang w:val="es-CL" w:eastAsia="es-CL"/>
    </w:rPr>
  </w:style>
  <w:style w:type="character" w:styleId="Refdecomentario">
    <w:name w:val="annotation reference"/>
    <w:basedOn w:val="Fuentedeprrafopredeter"/>
    <w:uiPriority w:val="99"/>
    <w:semiHidden/>
    <w:unhideWhenUsed/>
    <w:rsid w:val="00A30962"/>
    <w:rPr>
      <w:sz w:val="16"/>
      <w:szCs w:val="16"/>
    </w:rPr>
  </w:style>
  <w:style w:type="paragraph" w:styleId="Textocomentario">
    <w:name w:val="annotation text"/>
    <w:basedOn w:val="Normal"/>
    <w:link w:val="TextocomentarioCar"/>
    <w:uiPriority w:val="99"/>
    <w:semiHidden/>
    <w:unhideWhenUsed/>
    <w:rsid w:val="00A30962"/>
    <w:rPr>
      <w:sz w:val="20"/>
      <w:szCs w:val="20"/>
    </w:rPr>
  </w:style>
  <w:style w:type="character" w:customStyle="1" w:styleId="TextocomentarioCar">
    <w:name w:val="Texto comentario Car"/>
    <w:basedOn w:val="Fuentedeprrafopredeter"/>
    <w:link w:val="Textocomentario"/>
    <w:uiPriority w:val="99"/>
    <w:semiHidden/>
    <w:rsid w:val="00A30962"/>
    <w:rPr>
      <w:sz w:val="20"/>
      <w:szCs w:val="20"/>
    </w:rPr>
  </w:style>
  <w:style w:type="paragraph" w:styleId="Asuntodelcomentario">
    <w:name w:val="annotation subject"/>
    <w:basedOn w:val="Textocomentario"/>
    <w:next w:val="Textocomentario"/>
    <w:link w:val="AsuntodelcomentarioCar"/>
    <w:uiPriority w:val="99"/>
    <w:semiHidden/>
    <w:unhideWhenUsed/>
    <w:rsid w:val="00A30962"/>
    <w:rPr>
      <w:b/>
      <w:bCs/>
    </w:rPr>
  </w:style>
  <w:style w:type="character" w:customStyle="1" w:styleId="AsuntodelcomentarioCar">
    <w:name w:val="Asunto del comentario Car"/>
    <w:basedOn w:val="TextocomentarioCar"/>
    <w:link w:val="Asuntodelcomentario"/>
    <w:uiPriority w:val="99"/>
    <w:semiHidden/>
    <w:rsid w:val="00A30962"/>
    <w:rPr>
      <w:b/>
      <w:bCs/>
      <w:sz w:val="20"/>
      <w:szCs w:val="20"/>
    </w:rPr>
  </w:style>
  <w:style w:type="paragraph" w:styleId="Revisin">
    <w:name w:val="Revision"/>
    <w:hidden/>
    <w:uiPriority w:val="99"/>
    <w:semiHidden/>
    <w:rsid w:val="0092216A"/>
  </w:style>
  <w:style w:type="character" w:customStyle="1" w:styleId="Ttulo1Car">
    <w:name w:val="Título 1 Car"/>
    <w:basedOn w:val="Fuentedeprrafopredeter"/>
    <w:link w:val="Ttulo1"/>
    <w:uiPriority w:val="9"/>
    <w:rsid w:val="004A63B0"/>
    <w:rPr>
      <w:rFonts w:ascii="Times New Roman" w:eastAsia="Times New Roman" w:hAnsi="Times New Roman" w:cs="Times New Roman"/>
      <w:b/>
      <w:bCs/>
      <w:kern w:val="36"/>
      <w:sz w:val="48"/>
      <w:szCs w:val="48"/>
      <w:lang w:val="es-CL" w:eastAsia="es-CL"/>
    </w:rPr>
  </w:style>
  <w:style w:type="table" w:styleId="Tablaconcuadrcula">
    <w:name w:val="Table Grid"/>
    <w:basedOn w:val="Tablanormal"/>
    <w:uiPriority w:val="39"/>
    <w:rsid w:val="00C91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Fuentedeprrafopredeter"/>
    <w:rsid w:val="006D3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45373263">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93931257">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9913D-0CBC-4B2C-8DEF-49AD2F1B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1222</Words>
  <Characters>6723</Characters>
  <Application>Microsoft Office Word</Application>
  <DocSecurity>0</DocSecurity>
  <Lines>56</Lines>
  <Paragraphs>15</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Claudio Isla Chavez</cp:lastModifiedBy>
  <cp:revision>2</cp:revision>
  <cp:lastPrinted>2022-11-11T13:07:00Z</cp:lastPrinted>
  <dcterms:created xsi:type="dcterms:W3CDTF">2023-04-06T13:08:00Z</dcterms:created>
  <dcterms:modified xsi:type="dcterms:W3CDTF">2023-04-06T13:08:00Z</dcterms:modified>
</cp:coreProperties>
</file>