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33FBB9" w14:textId="77777777" w:rsidR="00D541F8" w:rsidRPr="00430FCA" w:rsidRDefault="00D541F8" w:rsidP="00D541F8">
      <w:pPr>
        <w:ind w:left="4248" w:firstLine="708"/>
        <w:outlineLvl w:val="0"/>
        <w:rPr>
          <w:rFonts w:cstheme="minorHAnsi"/>
          <w:sz w:val="22"/>
          <w:szCs w:val="22"/>
        </w:rPr>
      </w:pPr>
      <w:r w:rsidRPr="00430FCA">
        <w:rPr>
          <w:rFonts w:cstheme="minorHAnsi"/>
          <w:b/>
          <w:sz w:val="22"/>
          <w:szCs w:val="22"/>
          <w:lang w:val="es-CL"/>
        </w:rPr>
        <w:softHyphen/>
      </w:r>
    </w:p>
    <w:p w14:paraId="3E4CC27F" w14:textId="77777777" w:rsidR="00D541F8" w:rsidRPr="00430FCA" w:rsidRDefault="00D541F8" w:rsidP="00D541F8">
      <w:pPr>
        <w:ind w:left="2832" w:firstLine="708"/>
        <w:rPr>
          <w:rFonts w:cstheme="minorHAnsi"/>
          <w:sz w:val="22"/>
          <w:szCs w:val="22"/>
        </w:rPr>
      </w:pPr>
      <w:r w:rsidRPr="00430FCA">
        <w:rPr>
          <w:rFonts w:cstheme="minorHAnsi"/>
          <w:b/>
          <w:sz w:val="22"/>
          <w:szCs w:val="22"/>
        </w:rPr>
        <w:t xml:space="preserve">RESOLUCIÓN EXENTA </w:t>
      </w:r>
      <w:proofErr w:type="spellStart"/>
      <w:r w:rsidRPr="00430FCA">
        <w:rPr>
          <w:rFonts w:cstheme="minorHAnsi"/>
          <w:b/>
          <w:sz w:val="22"/>
          <w:szCs w:val="22"/>
        </w:rPr>
        <w:t>N°</w:t>
      </w:r>
      <w:proofErr w:type="spellEnd"/>
    </w:p>
    <w:p w14:paraId="21CE62C2" w14:textId="77777777" w:rsidR="00D541F8" w:rsidRPr="00430FCA" w:rsidRDefault="00D541F8" w:rsidP="00D541F8">
      <w:pPr>
        <w:rPr>
          <w:rFonts w:cstheme="minorHAnsi"/>
          <w:sz w:val="22"/>
          <w:szCs w:val="22"/>
        </w:rPr>
      </w:pPr>
    </w:p>
    <w:p w14:paraId="05AF7BC1" w14:textId="77777777" w:rsidR="00D541F8" w:rsidRPr="00430FCA" w:rsidRDefault="00D541F8" w:rsidP="00D541F8">
      <w:pPr>
        <w:rPr>
          <w:rFonts w:cstheme="minorHAnsi"/>
          <w:sz w:val="22"/>
          <w:szCs w:val="22"/>
        </w:rPr>
      </w:pPr>
    </w:p>
    <w:p w14:paraId="382B5555" w14:textId="77777777" w:rsidR="00D541F8" w:rsidRPr="00430FCA" w:rsidRDefault="00D541F8" w:rsidP="00D541F8">
      <w:pPr>
        <w:rPr>
          <w:rFonts w:cstheme="minorHAnsi"/>
          <w:sz w:val="22"/>
          <w:szCs w:val="22"/>
        </w:rPr>
      </w:pPr>
      <w:r w:rsidRPr="00430FCA">
        <w:rPr>
          <w:rFonts w:cstheme="minorHAnsi"/>
          <w:sz w:val="22"/>
          <w:szCs w:val="22"/>
        </w:rPr>
        <w:tab/>
      </w:r>
      <w:r w:rsidRPr="00430FCA">
        <w:rPr>
          <w:rFonts w:cstheme="minorHAnsi"/>
          <w:sz w:val="22"/>
          <w:szCs w:val="22"/>
        </w:rPr>
        <w:tab/>
      </w:r>
      <w:r w:rsidRPr="00430FCA">
        <w:rPr>
          <w:rFonts w:cstheme="minorHAnsi"/>
          <w:sz w:val="22"/>
          <w:szCs w:val="22"/>
        </w:rPr>
        <w:tab/>
      </w:r>
      <w:r w:rsidRPr="00430FCA">
        <w:rPr>
          <w:rFonts w:cstheme="minorHAnsi"/>
          <w:sz w:val="22"/>
          <w:szCs w:val="22"/>
        </w:rPr>
        <w:tab/>
      </w:r>
      <w:r w:rsidRPr="00430FCA">
        <w:rPr>
          <w:rFonts w:cstheme="minorHAnsi"/>
          <w:sz w:val="22"/>
          <w:szCs w:val="22"/>
        </w:rPr>
        <w:tab/>
      </w:r>
      <w:r w:rsidRPr="00430FCA">
        <w:rPr>
          <w:rFonts w:cstheme="minorHAnsi"/>
          <w:b/>
          <w:sz w:val="22"/>
          <w:szCs w:val="22"/>
        </w:rPr>
        <w:t>VALPARAISO,</w:t>
      </w:r>
    </w:p>
    <w:p w14:paraId="71757CE3" w14:textId="77777777" w:rsidR="00D541F8" w:rsidRPr="00430FCA" w:rsidRDefault="00D541F8" w:rsidP="00D541F8">
      <w:pPr>
        <w:rPr>
          <w:rFonts w:cstheme="minorHAnsi"/>
          <w:sz w:val="22"/>
          <w:szCs w:val="22"/>
        </w:rPr>
      </w:pPr>
    </w:p>
    <w:p w14:paraId="4344F698" w14:textId="77777777" w:rsidR="00D541F8" w:rsidRPr="00430FCA" w:rsidRDefault="00D541F8" w:rsidP="00D541F8">
      <w:pPr>
        <w:rPr>
          <w:rFonts w:cstheme="minorHAnsi"/>
          <w:sz w:val="22"/>
          <w:szCs w:val="22"/>
        </w:rPr>
      </w:pPr>
    </w:p>
    <w:p w14:paraId="47B4EEE0" w14:textId="77777777" w:rsidR="00D541F8" w:rsidRPr="00430FCA" w:rsidRDefault="00D541F8" w:rsidP="00D541F8">
      <w:pPr>
        <w:ind w:left="2832" w:firstLine="708"/>
        <w:rPr>
          <w:rFonts w:cstheme="minorHAnsi"/>
          <w:b/>
          <w:sz w:val="22"/>
          <w:szCs w:val="22"/>
        </w:rPr>
      </w:pPr>
      <w:r w:rsidRPr="00430FCA">
        <w:rPr>
          <w:rFonts w:cstheme="minorHAnsi"/>
          <w:b/>
          <w:sz w:val="22"/>
          <w:szCs w:val="22"/>
        </w:rPr>
        <w:t>VISTOS:</w:t>
      </w:r>
    </w:p>
    <w:p w14:paraId="033CD00F" w14:textId="77777777" w:rsidR="00D541F8" w:rsidRPr="00430FCA" w:rsidRDefault="00D541F8" w:rsidP="00D541F8">
      <w:pPr>
        <w:rPr>
          <w:rFonts w:cstheme="minorHAnsi"/>
          <w:b/>
          <w:sz w:val="22"/>
          <w:szCs w:val="22"/>
        </w:rPr>
      </w:pPr>
    </w:p>
    <w:p w14:paraId="4F068A44" w14:textId="6E9FC445" w:rsidR="00D541F8" w:rsidRPr="00430FCA" w:rsidRDefault="00D541F8" w:rsidP="00D541F8">
      <w:pPr>
        <w:ind w:firstLine="3544"/>
        <w:jc w:val="both"/>
        <w:rPr>
          <w:rFonts w:cstheme="minorHAnsi"/>
          <w:sz w:val="22"/>
          <w:szCs w:val="22"/>
        </w:rPr>
      </w:pPr>
      <w:r w:rsidRPr="00430FCA">
        <w:rPr>
          <w:rFonts w:cstheme="minorHAnsi"/>
          <w:sz w:val="22"/>
          <w:szCs w:val="22"/>
        </w:rPr>
        <w:t xml:space="preserve">El Decreto Supremo </w:t>
      </w:r>
      <w:r w:rsidR="00E24783" w:rsidRPr="00430FCA">
        <w:rPr>
          <w:rFonts w:cstheme="minorHAnsi"/>
          <w:sz w:val="22"/>
          <w:szCs w:val="22"/>
        </w:rPr>
        <w:t>N°</w:t>
      </w:r>
      <w:r w:rsidRPr="00430FCA">
        <w:rPr>
          <w:rFonts w:cstheme="minorHAnsi"/>
          <w:sz w:val="22"/>
          <w:szCs w:val="22"/>
        </w:rPr>
        <w:t xml:space="preserve">16, de 1995, del Ministerio de Relaciones Exteriores, publicado en el Diario Oficial de 17.05.1995, que promulga el </w:t>
      </w:r>
      <w:r w:rsidR="00E24783" w:rsidRPr="00430FCA">
        <w:rPr>
          <w:rFonts w:cstheme="minorHAnsi"/>
          <w:sz w:val="22"/>
          <w:szCs w:val="22"/>
        </w:rPr>
        <w:t>“</w:t>
      </w:r>
      <w:r w:rsidRPr="00430FCA">
        <w:rPr>
          <w:rFonts w:cstheme="minorHAnsi"/>
          <w:sz w:val="22"/>
          <w:szCs w:val="22"/>
        </w:rPr>
        <w:t>Acuerdo de Marrakech</w:t>
      </w:r>
      <w:r w:rsidR="00E24783" w:rsidRPr="00430FCA">
        <w:rPr>
          <w:rFonts w:cstheme="minorHAnsi"/>
          <w:sz w:val="22"/>
          <w:szCs w:val="22"/>
        </w:rPr>
        <w:t>”</w:t>
      </w:r>
      <w:r w:rsidRPr="00430FCA">
        <w:rPr>
          <w:rFonts w:cstheme="minorHAnsi"/>
          <w:sz w:val="22"/>
          <w:szCs w:val="22"/>
        </w:rPr>
        <w:t>, por el que se establece la Organización Mundial del Comercio, y los Acuerdos Anexos que se indican, entre los que se encuentran el Acuerdo General sobre Aranceles Aduaneros y Comercio de 1994, también denominado "GATT de 1994" y el Acuerdo relativo a la aplicación del artículo VII del Acuerdo General sobre Aranceles Aduaneros y Comercio de 1994.</w:t>
      </w:r>
    </w:p>
    <w:p w14:paraId="48F34319" w14:textId="77777777" w:rsidR="00D541F8" w:rsidRPr="00430FCA" w:rsidRDefault="00D541F8" w:rsidP="00D541F8">
      <w:pPr>
        <w:jc w:val="both"/>
        <w:rPr>
          <w:rFonts w:cstheme="minorHAnsi"/>
          <w:sz w:val="22"/>
          <w:szCs w:val="22"/>
        </w:rPr>
      </w:pPr>
    </w:p>
    <w:p w14:paraId="3761F23F" w14:textId="5BAFF4E3" w:rsidR="00D541F8" w:rsidRPr="00430FCA" w:rsidRDefault="00D541F8" w:rsidP="00D541F8">
      <w:pPr>
        <w:ind w:firstLine="3544"/>
        <w:jc w:val="both"/>
        <w:rPr>
          <w:rFonts w:cstheme="minorHAnsi"/>
          <w:sz w:val="22"/>
          <w:szCs w:val="22"/>
        </w:rPr>
      </w:pPr>
      <w:r w:rsidRPr="00430FCA">
        <w:rPr>
          <w:rFonts w:cstheme="minorHAnsi"/>
          <w:sz w:val="22"/>
          <w:szCs w:val="22"/>
        </w:rPr>
        <w:t xml:space="preserve">El Decreto con Fuerza de Ley </w:t>
      </w:r>
      <w:r w:rsidR="00E24783" w:rsidRPr="00430FCA">
        <w:rPr>
          <w:rFonts w:cstheme="minorHAnsi"/>
          <w:sz w:val="22"/>
          <w:szCs w:val="22"/>
        </w:rPr>
        <w:t>N°</w:t>
      </w:r>
      <w:r w:rsidRPr="00430FCA">
        <w:rPr>
          <w:rFonts w:cstheme="minorHAnsi"/>
          <w:sz w:val="22"/>
          <w:szCs w:val="22"/>
        </w:rPr>
        <w:t xml:space="preserve">30 de 18.10.2004, del Ministerio de Hacienda, publicado en el Diario Oficial de 04.06.2005, que aprueba el texto refundido, coordinado y sistematizado, del Decreto con Fuerza de Ley de Hacienda </w:t>
      </w:r>
      <w:r w:rsidR="00E24783" w:rsidRPr="00430FCA">
        <w:rPr>
          <w:rFonts w:cstheme="minorHAnsi"/>
          <w:sz w:val="22"/>
          <w:szCs w:val="22"/>
        </w:rPr>
        <w:t>N°</w:t>
      </w:r>
      <w:r w:rsidRPr="00430FCA">
        <w:rPr>
          <w:rFonts w:cstheme="minorHAnsi"/>
          <w:sz w:val="22"/>
          <w:szCs w:val="22"/>
        </w:rPr>
        <w:t>213, de 1953, sobre Ordenanza de Aduanas.</w:t>
      </w:r>
    </w:p>
    <w:p w14:paraId="43971E66" w14:textId="77777777" w:rsidR="00D541F8" w:rsidRPr="00430FCA" w:rsidRDefault="00D541F8" w:rsidP="00D541F8">
      <w:pPr>
        <w:ind w:firstLine="3544"/>
        <w:jc w:val="both"/>
        <w:rPr>
          <w:rFonts w:cstheme="minorHAnsi"/>
          <w:sz w:val="22"/>
          <w:szCs w:val="22"/>
        </w:rPr>
      </w:pPr>
    </w:p>
    <w:p w14:paraId="1775FBC9" w14:textId="068CCF6C" w:rsidR="00D541F8" w:rsidRPr="00430FCA" w:rsidRDefault="00D541F8" w:rsidP="00D541F8">
      <w:pPr>
        <w:ind w:firstLine="3544"/>
        <w:jc w:val="both"/>
        <w:rPr>
          <w:rFonts w:cstheme="minorHAnsi"/>
          <w:sz w:val="22"/>
          <w:szCs w:val="22"/>
          <w:lang w:val="es-ES"/>
        </w:rPr>
      </w:pPr>
      <w:r w:rsidRPr="00430FCA">
        <w:rPr>
          <w:rFonts w:cstheme="minorHAnsi"/>
          <w:sz w:val="22"/>
          <w:szCs w:val="22"/>
          <w:lang w:val="es-ES"/>
        </w:rPr>
        <w:t xml:space="preserve">El Decreto con Fuerza de Ley </w:t>
      </w:r>
      <w:r w:rsidR="00E24783" w:rsidRPr="00430FCA">
        <w:rPr>
          <w:rFonts w:cstheme="minorHAnsi"/>
          <w:sz w:val="22"/>
          <w:szCs w:val="22"/>
          <w:lang w:val="es-ES"/>
        </w:rPr>
        <w:t>N°</w:t>
      </w:r>
      <w:r w:rsidRPr="00430FCA">
        <w:rPr>
          <w:rFonts w:cstheme="minorHAnsi"/>
          <w:sz w:val="22"/>
          <w:szCs w:val="22"/>
          <w:lang w:val="es-ES"/>
        </w:rPr>
        <w:t xml:space="preserve">31 de 18.10.2004, del Ministerio de Hacienda, publicado en el Diario Oficial el 22.04.2005, que aprueba el texto refundido, coordinado y sistematizado de la Ley </w:t>
      </w:r>
      <w:r w:rsidR="00E24783" w:rsidRPr="00430FCA">
        <w:rPr>
          <w:rFonts w:cstheme="minorHAnsi"/>
          <w:sz w:val="22"/>
          <w:szCs w:val="22"/>
          <w:lang w:val="es-ES"/>
        </w:rPr>
        <w:t>N°</w:t>
      </w:r>
      <w:r w:rsidRPr="00430FCA">
        <w:rPr>
          <w:rFonts w:cstheme="minorHAnsi"/>
          <w:sz w:val="22"/>
          <w:szCs w:val="22"/>
          <w:lang w:val="es-ES"/>
        </w:rPr>
        <w:t>18.525, que establece Normas sobre Importación de Mercancías al país.</w:t>
      </w:r>
    </w:p>
    <w:p w14:paraId="2449017F" w14:textId="77777777" w:rsidR="00D541F8" w:rsidRPr="00430FCA" w:rsidRDefault="00D541F8" w:rsidP="00D541F8">
      <w:pPr>
        <w:ind w:firstLine="3544"/>
        <w:jc w:val="both"/>
        <w:rPr>
          <w:rFonts w:cstheme="minorHAnsi"/>
          <w:sz w:val="22"/>
          <w:szCs w:val="22"/>
        </w:rPr>
      </w:pPr>
    </w:p>
    <w:p w14:paraId="1FCB36D0" w14:textId="4945F0C5" w:rsidR="00D541F8" w:rsidRPr="00430FCA" w:rsidRDefault="00D541F8" w:rsidP="00D541F8">
      <w:pPr>
        <w:ind w:firstLine="3544"/>
        <w:jc w:val="both"/>
        <w:rPr>
          <w:rFonts w:cstheme="minorHAnsi"/>
          <w:sz w:val="22"/>
          <w:szCs w:val="22"/>
        </w:rPr>
      </w:pPr>
      <w:r w:rsidRPr="00430FCA">
        <w:rPr>
          <w:rFonts w:cstheme="minorHAnsi"/>
          <w:sz w:val="22"/>
          <w:szCs w:val="22"/>
        </w:rPr>
        <w:t xml:space="preserve">El Decreto Supremo </w:t>
      </w:r>
      <w:r w:rsidR="00E24783" w:rsidRPr="00430FCA">
        <w:rPr>
          <w:rFonts w:cstheme="minorHAnsi"/>
          <w:sz w:val="22"/>
          <w:szCs w:val="22"/>
        </w:rPr>
        <w:t>N°</w:t>
      </w:r>
      <w:r w:rsidRPr="00430FCA">
        <w:rPr>
          <w:rFonts w:cstheme="minorHAnsi"/>
          <w:sz w:val="22"/>
          <w:szCs w:val="22"/>
        </w:rPr>
        <w:t>1.134, de 26.11.2001, del Ministerio de Hacienda, publicado en el Diario Oficial de 20.06.2002, que establece el “Reglamento para la aplicación del Acuerdo referente al Artículo VII del Acuerdo General sobre Aranceles y Comercio de 1994”.</w:t>
      </w:r>
    </w:p>
    <w:p w14:paraId="52027C97" w14:textId="77777777" w:rsidR="00D541F8" w:rsidRPr="00430FCA" w:rsidRDefault="00D541F8" w:rsidP="00D541F8">
      <w:pPr>
        <w:ind w:firstLine="3544"/>
        <w:jc w:val="both"/>
        <w:rPr>
          <w:rFonts w:cstheme="minorHAnsi"/>
          <w:sz w:val="22"/>
          <w:szCs w:val="22"/>
        </w:rPr>
      </w:pPr>
    </w:p>
    <w:p w14:paraId="44727B15" w14:textId="1AFFEAC6" w:rsidR="00D541F8" w:rsidRPr="00430FCA" w:rsidRDefault="00D541F8" w:rsidP="00D541F8">
      <w:pPr>
        <w:ind w:firstLine="3544"/>
        <w:jc w:val="both"/>
        <w:rPr>
          <w:rFonts w:cstheme="minorHAnsi"/>
          <w:sz w:val="22"/>
          <w:szCs w:val="22"/>
        </w:rPr>
      </w:pPr>
      <w:r w:rsidRPr="00430FCA">
        <w:rPr>
          <w:rFonts w:cstheme="minorHAnsi"/>
          <w:sz w:val="22"/>
          <w:szCs w:val="22"/>
        </w:rPr>
        <w:t xml:space="preserve">La Resolución </w:t>
      </w:r>
      <w:r w:rsidR="00E24783" w:rsidRPr="00430FCA">
        <w:rPr>
          <w:rFonts w:cstheme="minorHAnsi"/>
          <w:sz w:val="22"/>
          <w:szCs w:val="22"/>
        </w:rPr>
        <w:t>N°</w:t>
      </w:r>
      <w:r w:rsidRPr="00430FCA">
        <w:rPr>
          <w:rFonts w:cstheme="minorHAnsi"/>
          <w:sz w:val="22"/>
          <w:szCs w:val="22"/>
        </w:rPr>
        <w:t xml:space="preserve">1.300, de 14.03.2006 publicada en extracto en el Diario Oficial el 30.03.2006, que sustituye el cuerpo del Compendio de Normas Aduaneras, aprobado por Resolución </w:t>
      </w:r>
      <w:r w:rsidR="00E24783" w:rsidRPr="00430FCA">
        <w:rPr>
          <w:rFonts w:cstheme="minorHAnsi"/>
          <w:sz w:val="22"/>
          <w:szCs w:val="22"/>
        </w:rPr>
        <w:t>N°</w:t>
      </w:r>
      <w:r w:rsidRPr="00430FCA">
        <w:rPr>
          <w:rFonts w:cstheme="minorHAnsi"/>
          <w:sz w:val="22"/>
          <w:szCs w:val="22"/>
        </w:rPr>
        <w:t xml:space="preserve">2.400 de 1985 del </w:t>
      </w:r>
      <w:proofErr w:type="gramStart"/>
      <w:r w:rsidRPr="00430FCA">
        <w:rPr>
          <w:rFonts w:cstheme="minorHAnsi"/>
          <w:sz w:val="22"/>
          <w:szCs w:val="22"/>
        </w:rPr>
        <w:t>Director Nacional</w:t>
      </w:r>
      <w:proofErr w:type="gramEnd"/>
      <w:r w:rsidRPr="00430FCA">
        <w:rPr>
          <w:rFonts w:cstheme="minorHAnsi"/>
          <w:sz w:val="22"/>
          <w:szCs w:val="22"/>
        </w:rPr>
        <w:t xml:space="preserve"> de Aduanas.</w:t>
      </w:r>
    </w:p>
    <w:p w14:paraId="76E8A061" w14:textId="77777777" w:rsidR="00D541F8" w:rsidRPr="00430FCA" w:rsidRDefault="00D541F8" w:rsidP="00D541F8">
      <w:pPr>
        <w:ind w:firstLine="3544"/>
        <w:jc w:val="both"/>
        <w:rPr>
          <w:rFonts w:cstheme="minorHAnsi"/>
          <w:sz w:val="22"/>
          <w:szCs w:val="22"/>
        </w:rPr>
      </w:pPr>
    </w:p>
    <w:p w14:paraId="555D9B94" w14:textId="7E8D6A75" w:rsidR="00D541F8" w:rsidRPr="00430FCA" w:rsidRDefault="00D541F8" w:rsidP="00D541F8">
      <w:pPr>
        <w:ind w:firstLine="3544"/>
        <w:jc w:val="both"/>
        <w:rPr>
          <w:rFonts w:cstheme="minorHAnsi"/>
          <w:sz w:val="22"/>
          <w:szCs w:val="22"/>
        </w:rPr>
      </w:pPr>
      <w:r w:rsidRPr="00430FCA">
        <w:rPr>
          <w:rFonts w:cstheme="minorHAnsi"/>
          <w:sz w:val="22"/>
          <w:szCs w:val="22"/>
        </w:rPr>
        <w:t xml:space="preserve">El Oficio Ordinario </w:t>
      </w:r>
      <w:r w:rsidR="00E24783" w:rsidRPr="00430FCA">
        <w:rPr>
          <w:rFonts w:cstheme="minorHAnsi"/>
          <w:sz w:val="22"/>
          <w:szCs w:val="22"/>
        </w:rPr>
        <w:t>N°</w:t>
      </w:r>
      <w:r w:rsidRPr="00430FCA">
        <w:rPr>
          <w:rFonts w:cstheme="minorHAnsi"/>
          <w:sz w:val="22"/>
          <w:szCs w:val="22"/>
        </w:rPr>
        <w:t xml:space="preserve">13.386, de 10.11.2014, del </w:t>
      </w:r>
      <w:proofErr w:type="gramStart"/>
      <w:r w:rsidRPr="00430FCA">
        <w:rPr>
          <w:rFonts w:cstheme="minorHAnsi"/>
          <w:sz w:val="22"/>
          <w:szCs w:val="22"/>
        </w:rPr>
        <w:t>Subdirector</w:t>
      </w:r>
      <w:proofErr w:type="gramEnd"/>
      <w:r w:rsidRPr="00430FCA">
        <w:rPr>
          <w:rFonts w:cstheme="minorHAnsi"/>
          <w:sz w:val="22"/>
          <w:szCs w:val="22"/>
        </w:rPr>
        <w:t xml:space="preserve"> Jurídico del Servicio Nacional de Aduanas, que se pronuncia sobre importaciones de mercancías en calidad de arriendo.</w:t>
      </w:r>
    </w:p>
    <w:p w14:paraId="03265DCD" w14:textId="77777777" w:rsidR="00D541F8" w:rsidRPr="00430FCA" w:rsidRDefault="00D541F8" w:rsidP="00D541F8">
      <w:pPr>
        <w:jc w:val="both"/>
        <w:rPr>
          <w:rFonts w:cstheme="minorHAnsi"/>
          <w:sz w:val="22"/>
          <w:szCs w:val="22"/>
        </w:rPr>
      </w:pPr>
    </w:p>
    <w:p w14:paraId="71E93D90" w14:textId="77777777" w:rsidR="00D541F8" w:rsidRPr="00430FCA" w:rsidRDefault="00D541F8" w:rsidP="00D541F8">
      <w:pPr>
        <w:ind w:firstLine="3544"/>
        <w:jc w:val="both"/>
        <w:rPr>
          <w:rFonts w:cstheme="minorHAnsi"/>
          <w:sz w:val="22"/>
          <w:szCs w:val="22"/>
        </w:rPr>
      </w:pPr>
      <w:r w:rsidRPr="00430FCA">
        <w:rPr>
          <w:rFonts w:cstheme="minorHAnsi"/>
          <w:b/>
          <w:sz w:val="22"/>
          <w:szCs w:val="22"/>
        </w:rPr>
        <w:t>CONSIDERANDO:</w:t>
      </w:r>
    </w:p>
    <w:p w14:paraId="1BEBB115" w14:textId="77777777" w:rsidR="00D541F8" w:rsidRPr="00430FCA" w:rsidRDefault="00D541F8" w:rsidP="00D541F8">
      <w:pPr>
        <w:ind w:firstLine="3544"/>
        <w:jc w:val="both"/>
        <w:rPr>
          <w:rFonts w:cstheme="minorHAnsi"/>
          <w:sz w:val="22"/>
          <w:szCs w:val="22"/>
        </w:rPr>
      </w:pPr>
    </w:p>
    <w:p w14:paraId="3BF52F19" w14:textId="77777777" w:rsidR="00D541F8" w:rsidRPr="00430FCA" w:rsidRDefault="00D541F8" w:rsidP="00D541F8">
      <w:pPr>
        <w:ind w:firstLine="3544"/>
        <w:jc w:val="both"/>
        <w:rPr>
          <w:rFonts w:cstheme="minorHAnsi"/>
          <w:sz w:val="22"/>
          <w:szCs w:val="22"/>
        </w:rPr>
      </w:pPr>
      <w:r w:rsidRPr="00430FCA">
        <w:rPr>
          <w:rFonts w:cstheme="minorHAnsi"/>
          <w:sz w:val="22"/>
          <w:szCs w:val="22"/>
        </w:rPr>
        <w:t>Que, según el artículo 1° del Acuerdo relativo a la Aplicación del Artículo VII del Acuerdo General sobre Aranceles Aduaneros y Comercio, de 1994 (Acuerdo sobre Valoración Aduanera), el valor en aduana de las mercancías importadas será el valor de transacción, es decir, el precio realmente pagado o por pagar por las mercancías, cuando estas se venden para su exportación al país de importación, ajustado si procede, de conformidad con el artículo 8° del mismo Acuerdo.</w:t>
      </w:r>
    </w:p>
    <w:p w14:paraId="481C9BF6" w14:textId="77777777" w:rsidR="00D541F8" w:rsidRPr="00430FCA" w:rsidRDefault="00D541F8" w:rsidP="00D541F8">
      <w:pPr>
        <w:ind w:firstLine="3544"/>
        <w:jc w:val="both"/>
        <w:rPr>
          <w:rFonts w:cstheme="minorHAnsi"/>
          <w:sz w:val="22"/>
          <w:szCs w:val="22"/>
        </w:rPr>
      </w:pPr>
    </w:p>
    <w:p w14:paraId="0C9809F5" w14:textId="77777777" w:rsidR="00D541F8" w:rsidRPr="00430FCA" w:rsidRDefault="00D541F8" w:rsidP="00D541F8">
      <w:pPr>
        <w:ind w:firstLine="3544"/>
        <w:jc w:val="both"/>
        <w:rPr>
          <w:rFonts w:cstheme="minorHAnsi"/>
          <w:sz w:val="22"/>
          <w:szCs w:val="22"/>
        </w:rPr>
      </w:pPr>
      <w:r w:rsidRPr="00430FCA">
        <w:rPr>
          <w:rFonts w:cstheme="minorHAnsi"/>
          <w:sz w:val="22"/>
          <w:szCs w:val="22"/>
        </w:rPr>
        <w:t>Que, de acuerdo con la Nota Interpretativa al artículo 1° antes mencionado, el precio realmente pagado o por pagar, es el pago total que haya hecho o vaya a hacer el comprador al vendedor o en beneficio de este, por las mercancías importadas.</w:t>
      </w:r>
    </w:p>
    <w:p w14:paraId="3FC2AA76" w14:textId="77777777" w:rsidR="00D541F8" w:rsidRPr="00430FCA" w:rsidRDefault="00D541F8" w:rsidP="00D541F8">
      <w:pPr>
        <w:ind w:firstLine="3544"/>
        <w:jc w:val="both"/>
        <w:rPr>
          <w:rFonts w:cstheme="minorHAnsi"/>
          <w:sz w:val="22"/>
          <w:szCs w:val="22"/>
        </w:rPr>
      </w:pPr>
    </w:p>
    <w:p w14:paraId="2A123C06" w14:textId="77777777" w:rsidR="00D541F8" w:rsidRPr="00430FCA" w:rsidRDefault="00D541F8" w:rsidP="00D541F8">
      <w:pPr>
        <w:ind w:firstLine="3544"/>
        <w:jc w:val="both"/>
        <w:rPr>
          <w:rFonts w:cstheme="minorHAnsi"/>
          <w:sz w:val="22"/>
          <w:szCs w:val="22"/>
        </w:rPr>
      </w:pPr>
      <w:r w:rsidRPr="00430FCA">
        <w:rPr>
          <w:rFonts w:cstheme="minorHAnsi"/>
          <w:sz w:val="22"/>
          <w:szCs w:val="22"/>
        </w:rPr>
        <w:t>Que, conforme al artículo 7° del Acuerdo sobre Valoración Aduanera, si el valor en aduana de las mercancías importadas no puede determinarse según los métodos dispuestos en los artículos 1 a 6 inclusive, dicho valor se determinará mediante criterios razonables, compatibles con las disposiciones del mismo Acuerdo, sobre la base de datos disponibles en el país de importación.</w:t>
      </w:r>
    </w:p>
    <w:p w14:paraId="18956CC7" w14:textId="54415B89" w:rsidR="00D541F8" w:rsidRPr="00430FCA" w:rsidRDefault="00D541F8" w:rsidP="00D541F8">
      <w:pPr>
        <w:ind w:firstLine="3544"/>
        <w:jc w:val="both"/>
        <w:rPr>
          <w:rFonts w:cstheme="minorHAnsi"/>
          <w:sz w:val="22"/>
          <w:szCs w:val="22"/>
        </w:rPr>
      </w:pPr>
      <w:r w:rsidRPr="00430FCA">
        <w:rPr>
          <w:rFonts w:cstheme="minorHAnsi"/>
          <w:sz w:val="22"/>
          <w:szCs w:val="22"/>
        </w:rPr>
        <w:t>Que, conforme al inciso primero del artículo 5° del</w:t>
      </w:r>
      <w:r w:rsidRPr="00430FCA">
        <w:rPr>
          <w:rFonts w:cstheme="minorHAnsi"/>
          <w:sz w:val="22"/>
          <w:szCs w:val="22"/>
          <w:lang w:val="es-ES"/>
        </w:rPr>
        <w:t xml:space="preserve"> Decreto con Fuerza de Ley </w:t>
      </w:r>
      <w:r w:rsidR="00E24783" w:rsidRPr="00430FCA">
        <w:rPr>
          <w:rFonts w:cstheme="minorHAnsi"/>
          <w:sz w:val="22"/>
          <w:szCs w:val="22"/>
          <w:lang w:val="es-ES"/>
        </w:rPr>
        <w:t>N°</w:t>
      </w:r>
      <w:r w:rsidRPr="00430FCA">
        <w:rPr>
          <w:rFonts w:cstheme="minorHAnsi"/>
          <w:sz w:val="22"/>
          <w:szCs w:val="22"/>
          <w:lang w:val="es-ES"/>
        </w:rPr>
        <w:t>31</w:t>
      </w:r>
      <w:r w:rsidRPr="00430FCA">
        <w:rPr>
          <w:rFonts w:cstheme="minorHAnsi"/>
          <w:sz w:val="22"/>
          <w:szCs w:val="22"/>
        </w:rPr>
        <w:t xml:space="preserve">, la base imponible de los derechos ad </w:t>
      </w:r>
      <w:proofErr w:type="spellStart"/>
      <w:r w:rsidRPr="00430FCA">
        <w:rPr>
          <w:rFonts w:cstheme="minorHAnsi"/>
          <w:sz w:val="22"/>
          <w:szCs w:val="22"/>
        </w:rPr>
        <w:t>valorem</w:t>
      </w:r>
      <w:proofErr w:type="spellEnd"/>
      <w:r w:rsidRPr="00430FCA">
        <w:rPr>
          <w:rFonts w:cstheme="minorHAnsi"/>
          <w:sz w:val="22"/>
          <w:szCs w:val="22"/>
        </w:rPr>
        <w:t xml:space="preserve"> estará constituida por el valor aduanero de las mercancías que ingresen al país, determinado sobre la base del Acuerdo relativo a la Aplicación del Artículo VII del Acuerdo General sobre Aranceles Aduaneros y Comercio de 1994. Asimismo, establece en su inciso tercero que “con el objeto de asegurar la uniformidad de la interpretación y aplicación del Acuerdo sobre Valoración se estará a lo que disponen dicho Acuerdo y sus Anexos. Para los efectos de ilustrar los pasajes oscuros, contradictorios o de difícil aplicación se tomará en consideración la documentación emanada del Comité Técnico de Valoración establecido en el mismo Acuerdo”. </w:t>
      </w:r>
    </w:p>
    <w:p w14:paraId="377AC36B" w14:textId="77777777" w:rsidR="00D541F8" w:rsidRPr="00430FCA" w:rsidRDefault="00D541F8" w:rsidP="00D541F8">
      <w:pPr>
        <w:ind w:firstLine="3544"/>
        <w:jc w:val="both"/>
        <w:rPr>
          <w:rFonts w:cstheme="minorHAnsi"/>
          <w:sz w:val="22"/>
          <w:szCs w:val="22"/>
        </w:rPr>
      </w:pPr>
    </w:p>
    <w:p w14:paraId="7BA7B164" w14:textId="77777777" w:rsidR="00D541F8" w:rsidRPr="00430FCA" w:rsidRDefault="00D541F8" w:rsidP="00D541F8">
      <w:pPr>
        <w:ind w:firstLine="3544"/>
        <w:jc w:val="both"/>
        <w:rPr>
          <w:rFonts w:cstheme="minorHAnsi"/>
          <w:sz w:val="22"/>
          <w:szCs w:val="22"/>
        </w:rPr>
      </w:pPr>
      <w:r w:rsidRPr="00430FCA">
        <w:rPr>
          <w:rFonts w:cstheme="minorHAnsi"/>
          <w:sz w:val="22"/>
          <w:szCs w:val="22"/>
        </w:rPr>
        <w:t xml:space="preserve">Que, según lo indicado en la “Opinión Consultiva 1.1: la noción de “Venta” en el Acuerdo”, </w:t>
      </w:r>
      <w:bookmarkStart w:id="0" w:name="_Hlk108518000"/>
      <w:r w:rsidRPr="00430FCA">
        <w:rPr>
          <w:rFonts w:cstheme="minorHAnsi"/>
          <w:sz w:val="22"/>
          <w:szCs w:val="22"/>
        </w:rPr>
        <w:t>del mencionado Comité Técnico de Valoración</w:t>
      </w:r>
      <w:bookmarkEnd w:id="0"/>
      <w:r w:rsidRPr="00430FCA">
        <w:rPr>
          <w:rFonts w:cstheme="minorHAnsi"/>
          <w:sz w:val="22"/>
          <w:szCs w:val="22"/>
        </w:rPr>
        <w:t>, el Acuerdo no proporciona ninguna definición de la expresión de “venta”, no obstante, de conformidad con la intención fundamental del mismo que requiere que se utilice para la valoración en aduana, en la medida de lo posible, el valor de transacción de las mercancías importadas, es posible lograr una uniformidad de interpretación y aplicación de la noción de “venta” para la aplicación conjunta de los artículos 1 y 8, en su sentido más amplio.</w:t>
      </w:r>
    </w:p>
    <w:p w14:paraId="6B4D3B24" w14:textId="77777777" w:rsidR="00D541F8" w:rsidRPr="00430FCA" w:rsidRDefault="00D541F8" w:rsidP="00D541F8">
      <w:pPr>
        <w:ind w:firstLine="3544"/>
        <w:jc w:val="both"/>
        <w:rPr>
          <w:rFonts w:cstheme="minorHAnsi"/>
          <w:sz w:val="22"/>
          <w:szCs w:val="22"/>
        </w:rPr>
      </w:pPr>
    </w:p>
    <w:p w14:paraId="0CE2D0FD" w14:textId="77777777" w:rsidR="00D541F8" w:rsidRPr="00430FCA" w:rsidRDefault="00D541F8" w:rsidP="00D541F8">
      <w:pPr>
        <w:ind w:firstLine="3544"/>
        <w:jc w:val="both"/>
        <w:rPr>
          <w:rFonts w:cstheme="minorHAnsi"/>
          <w:sz w:val="22"/>
          <w:szCs w:val="22"/>
        </w:rPr>
      </w:pPr>
      <w:r w:rsidRPr="00430FCA">
        <w:rPr>
          <w:rFonts w:cstheme="minorHAnsi"/>
          <w:sz w:val="22"/>
          <w:szCs w:val="22"/>
        </w:rPr>
        <w:t>Que, adicionalmente, conforme al apartado V de la misma opinión consultiva antes citada, las mercancías importadas en ejecución de un contrato de arrendamiento, sea con opción de compra (leasing) o sin ella, por su propia naturaleza no constituyen venta, aun cuando el contrato incluya esa opción.</w:t>
      </w:r>
    </w:p>
    <w:p w14:paraId="74782597" w14:textId="77777777" w:rsidR="00D541F8" w:rsidRPr="00430FCA" w:rsidRDefault="00D541F8" w:rsidP="00D541F8">
      <w:pPr>
        <w:ind w:firstLine="3544"/>
        <w:jc w:val="both"/>
        <w:rPr>
          <w:rFonts w:cstheme="minorHAnsi"/>
          <w:sz w:val="22"/>
          <w:szCs w:val="22"/>
        </w:rPr>
      </w:pPr>
    </w:p>
    <w:p w14:paraId="40470E16" w14:textId="77777777" w:rsidR="00D541F8" w:rsidRPr="00430FCA" w:rsidRDefault="00D541F8" w:rsidP="00D541F8">
      <w:pPr>
        <w:ind w:firstLine="3544"/>
        <w:jc w:val="both"/>
        <w:rPr>
          <w:rFonts w:cstheme="minorHAnsi"/>
          <w:sz w:val="22"/>
          <w:szCs w:val="22"/>
        </w:rPr>
      </w:pPr>
      <w:r w:rsidRPr="00430FCA">
        <w:rPr>
          <w:rFonts w:cstheme="minorHAnsi"/>
          <w:sz w:val="22"/>
          <w:szCs w:val="22"/>
        </w:rPr>
        <w:t>Que, la misma opinión señala que el método de valoración aplicable se determinará de conformidad con el orden de prioridad establecido en el Acuerdo.</w:t>
      </w:r>
    </w:p>
    <w:p w14:paraId="00F44221" w14:textId="77777777" w:rsidR="00D541F8" w:rsidRPr="00430FCA" w:rsidRDefault="00D541F8" w:rsidP="00D541F8">
      <w:pPr>
        <w:ind w:firstLine="3544"/>
        <w:jc w:val="both"/>
        <w:rPr>
          <w:rFonts w:cstheme="minorHAnsi"/>
          <w:sz w:val="22"/>
          <w:szCs w:val="22"/>
        </w:rPr>
      </w:pPr>
    </w:p>
    <w:p w14:paraId="3599A130" w14:textId="77777777" w:rsidR="00D541F8" w:rsidRPr="00430FCA" w:rsidRDefault="00D541F8" w:rsidP="00D541F8">
      <w:pPr>
        <w:ind w:firstLine="3544"/>
        <w:jc w:val="both"/>
        <w:rPr>
          <w:rFonts w:cstheme="minorHAnsi"/>
          <w:sz w:val="22"/>
          <w:szCs w:val="22"/>
        </w:rPr>
      </w:pPr>
      <w:r w:rsidRPr="00430FCA">
        <w:rPr>
          <w:rFonts w:cstheme="minorHAnsi"/>
          <w:sz w:val="22"/>
          <w:szCs w:val="22"/>
        </w:rPr>
        <w:t>Que, en concordancia con lo anterior, el “Estudio 2.1: Trato aplicable a las mercancías alquiladas u objeto de leasing”, del mismo Comité Técnico de Valoración, señala que a estas mercancías “no puede aplicárseles el método del valor de transacción, y el valor en aduana debe determinarse según otros métodos en el orden de prioridad prescrito en el Acuerdo”. Además, realiza un análisis de la aplicación de los métodos sucesivos, señalando que cuando hayan fallado todos los intentos de determinar el valor en aduana con arreglo a lo dispuesto en los artículos 2 a 6 inclusive, habrá que aplicar el artículo 7, que permite diversos enfoques. En primer lugar, se deben aplicar los métodos establecidos en los artículos 1 a 6 con una flexibilidad razonable. Si lo anterior no permite determinar el valor en aduana, se pueden aplicar criterios razonables, como por ejemplo basarse en precios de lista vigentes, en el valor determinado por un perito, en el precio de la opción de compra si esta es fijada al inicio del contrato o en la suma de los pagos por alquileres previstos en el contrato y del importe residual exigido cuando la opción de compra es posterior; en caso que no hubiere opción de compra, el cálculo del valor podría realizarse a partir de la suma total presunta de los alquileres pagaderos durante la vida útil de las mercancías, debiendo considerar que todas estas posibles opciones se podrían ajustar conforme a lo dispuesto en el artículo 8 del Acuerdo y a las deducciones o adiciones que indique el contrato.</w:t>
      </w:r>
    </w:p>
    <w:p w14:paraId="61C986ED" w14:textId="77777777" w:rsidR="00D541F8" w:rsidRPr="00430FCA" w:rsidRDefault="00D541F8" w:rsidP="00D541F8">
      <w:pPr>
        <w:ind w:firstLine="3544"/>
        <w:jc w:val="both"/>
        <w:rPr>
          <w:rFonts w:cstheme="minorHAnsi"/>
          <w:sz w:val="22"/>
          <w:szCs w:val="22"/>
        </w:rPr>
      </w:pPr>
    </w:p>
    <w:p w14:paraId="0B4A2B43" w14:textId="3A4BDE43" w:rsidR="00D541F8" w:rsidRPr="00430FCA" w:rsidRDefault="00D541F8" w:rsidP="00D541F8">
      <w:pPr>
        <w:ind w:firstLine="3544"/>
        <w:jc w:val="both"/>
        <w:rPr>
          <w:rFonts w:cstheme="minorHAnsi"/>
          <w:sz w:val="22"/>
          <w:szCs w:val="22"/>
        </w:rPr>
      </w:pPr>
      <w:r w:rsidRPr="00430FCA">
        <w:rPr>
          <w:rFonts w:cstheme="minorHAnsi"/>
          <w:sz w:val="22"/>
          <w:szCs w:val="22"/>
        </w:rPr>
        <w:t xml:space="preserve">Que, conforme se indica en el Oficio Ordinario </w:t>
      </w:r>
      <w:r w:rsidR="00E24783" w:rsidRPr="00430FCA">
        <w:rPr>
          <w:rFonts w:cstheme="minorHAnsi"/>
          <w:sz w:val="22"/>
          <w:szCs w:val="22"/>
        </w:rPr>
        <w:t>N°</w:t>
      </w:r>
      <w:r w:rsidRPr="00430FCA">
        <w:rPr>
          <w:rFonts w:cstheme="minorHAnsi"/>
          <w:sz w:val="22"/>
          <w:szCs w:val="22"/>
        </w:rPr>
        <w:t xml:space="preserve">13.386, de 10.11.2014, la destinación aduanera susceptible de tramitarse en caso de arrendamiento o leasing de bienes de capital no se restringe a la admisión temporal, pudiendo ingresar las respectivas mercancías mediante una importación. </w:t>
      </w:r>
    </w:p>
    <w:p w14:paraId="376A51CD" w14:textId="77777777" w:rsidR="00D541F8" w:rsidRPr="00430FCA" w:rsidRDefault="00D541F8" w:rsidP="00D541F8">
      <w:pPr>
        <w:ind w:firstLine="3544"/>
        <w:jc w:val="both"/>
        <w:rPr>
          <w:rFonts w:cstheme="minorHAnsi"/>
          <w:sz w:val="22"/>
          <w:szCs w:val="22"/>
        </w:rPr>
      </w:pPr>
    </w:p>
    <w:p w14:paraId="04D1029D" w14:textId="77777777" w:rsidR="00D541F8" w:rsidRPr="00430FCA" w:rsidRDefault="00D541F8" w:rsidP="00D541F8">
      <w:pPr>
        <w:ind w:firstLine="3544"/>
        <w:jc w:val="both"/>
        <w:rPr>
          <w:rFonts w:cstheme="minorHAnsi"/>
          <w:sz w:val="22"/>
          <w:szCs w:val="22"/>
        </w:rPr>
      </w:pPr>
      <w:r w:rsidRPr="00430FCA">
        <w:rPr>
          <w:rFonts w:cstheme="minorHAnsi"/>
          <w:sz w:val="22"/>
          <w:szCs w:val="22"/>
        </w:rPr>
        <w:t>Que, actualmente en la normativa aduanera, el numeral 10.1 del Capítulo III del Compendio de Normas Aduaneras, no contempla entre los documentos que sirven de base para la confección de la declaración de ingreso (DIN) la documentación pertinente, como el contrato o documento que haga sus veces, que permita determinar las características de la operación de arrendamiento o leasing al momento del ingreso de las mercancías, cuando sea el caso.</w:t>
      </w:r>
    </w:p>
    <w:p w14:paraId="615DEC0B" w14:textId="77777777" w:rsidR="00D541F8" w:rsidRPr="00430FCA" w:rsidRDefault="00D541F8" w:rsidP="00D541F8">
      <w:pPr>
        <w:ind w:firstLine="3544"/>
        <w:jc w:val="both"/>
        <w:rPr>
          <w:rFonts w:cstheme="minorHAnsi"/>
          <w:sz w:val="22"/>
          <w:szCs w:val="22"/>
        </w:rPr>
      </w:pPr>
    </w:p>
    <w:p w14:paraId="6B3545E0" w14:textId="77777777" w:rsidR="00D541F8" w:rsidRPr="00430FCA" w:rsidRDefault="00D541F8" w:rsidP="00D541F8">
      <w:pPr>
        <w:ind w:firstLine="3544"/>
        <w:jc w:val="both"/>
        <w:rPr>
          <w:rFonts w:cstheme="minorHAnsi"/>
          <w:sz w:val="22"/>
          <w:szCs w:val="22"/>
        </w:rPr>
      </w:pPr>
      <w:r w:rsidRPr="00430FCA">
        <w:rPr>
          <w:rFonts w:cstheme="minorHAnsi"/>
          <w:sz w:val="22"/>
          <w:szCs w:val="22"/>
        </w:rPr>
        <w:t xml:space="preserve">Que, a su vez el numeral 11 del Capítulo II del Compendio de Normas Aduaneras, indica que el valor aduanero de aquellas mercancías arrendadas, en alquiler o en leasing, se determinará basándose en el valor total del contrato correspondiente, en cuanto ingresen bajo un régimen suspensivo de derechos de admisión temporal, sin considerar otras destinaciones aduaneras. </w:t>
      </w:r>
    </w:p>
    <w:p w14:paraId="75C68115" w14:textId="77777777" w:rsidR="00D541F8" w:rsidRPr="00430FCA" w:rsidRDefault="00D541F8" w:rsidP="00D541F8">
      <w:pPr>
        <w:ind w:firstLine="3544"/>
        <w:jc w:val="both"/>
        <w:rPr>
          <w:rFonts w:cstheme="minorHAnsi"/>
          <w:sz w:val="22"/>
          <w:szCs w:val="22"/>
        </w:rPr>
      </w:pPr>
    </w:p>
    <w:p w14:paraId="5B52F33F" w14:textId="77777777" w:rsidR="00D541F8" w:rsidRPr="00430FCA" w:rsidRDefault="00D541F8" w:rsidP="00D541F8">
      <w:pPr>
        <w:ind w:firstLine="3544"/>
        <w:jc w:val="both"/>
        <w:rPr>
          <w:rFonts w:cstheme="minorHAnsi"/>
          <w:sz w:val="22"/>
          <w:szCs w:val="22"/>
        </w:rPr>
      </w:pPr>
      <w:r w:rsidRPr="00430FCA">
        <w:rPr>
          <w:rFonts w:cstheme="minorHAnsi"/>
          <w:sz w:val="22"/>
          <w:szCs w:val="22"/>
        </w:rPr>
        <w:t>Que, no existe codificación o descripción exigida en las instrucciones de llenado de la DIN, que permita identificar que la mercancía que ingresa al país se encuentra en modalidad de arrendamiento o leasing.</w:t>
      </w:r>
    </w:p>
    <w:p w14:paraId="184A9207" w14:textId="77777777" w:rsidR="00D541F8" w:rsidRPr="00430FCA" w:rsidRDefault="00D541F8" w:rsidP="00D541F8">
      <w:pPr>
        <w:ind w:firstLine="3544"/>
        <w:jc w:val="both"/>
        <w:rPr>
          <w:rFonts w:cstheme="minorHAnsi"/>
          <w:sz w:val="22"/>
          <w:szCs w:val="22"/>
        </w:rPr>
      </w:pPr>
    </w:p>
    <w:p w14:paraId="7FD0DDB9" w14:textId="77777777" w:rsidR="00D541F8" w:rsidRPr="00430FCA" w:rsidRDefault="00D541F8" w:rsidP="00D541F8">
      <w:pPr>
        <w:ind w:firstLine="3544"/>
        <w:jc w:val="both"/>
        <w:rPr>
          <w:rFonts w:cstheme="minorHAnsi"/>
          <w:sz w:val="22"/>
          <w:szCs w:val="22"/>
        </w:rPr>
      </w:pPr>
      <w:r w:rsidRPr="00430FCA">
        <w:rPr>
          <w:rFonts w:cstheme="minorHAnsi"/>
          <w:sz w:val="22"/>
          <w:szCs w:val="22"/>
        </w:rPr>
        <w:t>Que, se han recibido consultas por parte de los usuarios de comercio, que dejan de manifiesto la necesidad de aclarar las exigencias asociadas a los documentos de base requeridos para este tipo de operación, como así también la forma de valorar la mercancía que ingresa al país en modalidad de arrendamiento o leasing.</w:t>
      </w:r>
    </w:p>
    <w:p w14:paraId="0AD6F17B" w14:textId="77777777" w:rsidR="00D541F8" w:rsidRPr="00430FCA" w:rsidRDefault="00D541F8" w:rsidP="00D541F8">
      <w:pPr>
        <w:ind w:firstLine="3544"/>
        <w:jc w:val="both"/>
        <w:rPr>
          <w:rFonts w:cstheme="minorHAnsi"/>
          <w:sz w:val="22"/>
          <w:szCs w:val="22"/>
        </w:rPr>
      </w:pPr>
    </w:p>
    <w:p w14:paraId="72FAA51E" w14:textId="42CDB738" w:rsidR="00D541F8" w:rsidRPr="00430FCA" w:rsidRDefault="00D541F8" w:rsidP="00D541F8">
      <w:pPr>
        <w:ind w:firstLine="3544"/>
        <w:jc w:val="both"/>
        <w:rPr>
          <w:rFonts w:cstheme="minorHAnsi"/>
          <w:sz w:val="22"/>
          <w:szCs w:val="22"/>
        </w:rPr>
      </w:pPr>
      <w:r w:rsidRPr="00430FCA">
        <w:rPr>
          <w:rFonts w:cstheme="minorHAnsi"/>
          <w:sz w:val="22"/>
          <w:szCs w:val="22"/>
        </w:rPr>
        <w:t xml:space="preserve">Que, conforme a todo lo anterior, se hace necesario modificar los Capítulos II, III y el Anexo </w:t>
      </w:r>
      <w:r w:rsidR="00E24783" w:rsidRPr="00430FCA">
        <w:rPr>
          <w:rFonts w:cstheme="minorHAnsi"/>
          <w:sz w:val="22"/>
          <w:szCs w:val="22"/>
        </w:rPr>
        <w:t>N°</w:t>
      </w:r>
      <w:r w:rsidRPr="00430FCA">
        <w:rPr>
          <w:rFonts w:cstheme="minorHAnsi"/>
          <w:sz w:val="22"/>
          <w:szCs w:val="22"/>
        </w:rPr>
        <w:t>18 del Compendio de Normas Aduaneras.</w:t>
      </w:r>
    </w:p>
    <w:p w14:paraId="149D5AE6" w14:textId="77777777" w:rsidR="00D541F8" w:rsidRPr="00430FCA" w:rsidRDefault="00D541F8" w:rsidP="00D541F8">
      <w:pPr>
        <w:ind w:firstLine="3544"/>
        <w:jc w:val="both"/>
        <w:rPr>
          <w:rFonts w:cstheme="minorHAnsi"/>
          <w:sz w:val="22"/>
          <w:szCs w:val="22"/>
        </w:rPr>
      </w:pPr>
    </w:p>
    <w:p w14:paraId="73B4EBB7" w14:textId="77777777" w:rsidR="00D541F8" w:rsidRPr="00430FCA" w:rsidRDefault="00D541F8" w:rsidP="00D541F8">
      <w:pPr>
        <w:ind w:firstLine="3544"/>
        <w:jc w:val="both"/>
        <w:rPr>
          <w:rFonts w:cstheme="minorHAnsi"/>
          <w:sz w:val="22"/>
          <w:szCs w:val="22"/>
        </w:rPr>
      </w:pPr>
      <w:r w:rsidRPr="00430FCA">
        <w:rPr>
          <w:rFonts w:cstheme="minorHAnsi"/>
          <w:b/>
          <w:sz w:val="22"/>
          <w:szCs w:val="22"/>
        </w:rPr>
        <w:t>TENIENDO PRESENTE:</w:t>
      </w:r>
      <w:r w:rsidRPr="00430FCA">
        <w:rPr>
          <w:rFonts w:cstheme="minorHAnsi"/>
          <w:sz w:val="22"/>
          <w:szCs w:val="22"/>
        </w:rPr>
        <w:t xml:space="preserve"> </w:t>
      </w:r>
    </w:p>
    <w:p w14:paraId="7EC3B43A" w14:textId="77777777" w:rsidR="00D541F8" w:rsidRPr="00430FCA" w:rsidRDefault="00D541F8" w:rsidP="00D541F8">
      <w:pPr>
        <w:ind w:firstLine="3544"/>
        <w:jc w:val="both"/>
        <w:rPr>
          <w:rFonts w:cstheme="minorHAnsi"/>
          <w:sz w:val="22"/>
          <w:szCs w:val="22"/>
        </w:rPr>
      </w:pPr>
    </w:p>
    <w:p w14:paraId="34E612E0" w14:textId="283571DB" w:rsidR="00D541F8" w:rsidRPr="00430FCA" w:rsidRDefault="00D541F8" w:rsidP="00D541F8">
      <w:pPr>
        <w:ind w:firstLine="3544"/>
        <w:jc w:val="both"/>
        <w:rPr>
          <w:rFonts w:cstheme="minorHAnsi"/>
          <w:sz w:val="22"/>
          <w:szCs w:val="22"/>
        </w:rPr>
      </w:pPr>
      <w:r w:rsidRPr="00430FCA">
        <w:rPr>
          <w:rFonts w:cstheme="minorHAnsi"/>
          <w:sz w:val="22"/>
          <w:szCs w:val="22"/>
        </w:rPr>
        <w:t xml:space="preserve">Lo dispuesto en el artículo 4°, </w:t>
      </w:r>
      <w:r w:rsidR="00E24783" w:rsidRPr="00430FCA">
        <w:rPr>
          <w:rFonts w:cstheme="minorHAnsi"/>
          <w:sz w:val="22"/>
          <w:szCs w:val="22"/>
        </w:rPr>
        <w:t>N°</w:t>
      </w:r>
      <w:r w:rsidRPr="00430FCA">
        <w:rPr>
          <w:rFonts w:cstheme="minorHAnsi"/>
          <w:sz w:val="22"/>
          <w:szCs w:val="22"/>
        </w:rPr>
        <w:t xml:space="preserve">7, </w:t>
      </w:r>
      <w:r w:rsidR="00E24783" w:rsidRPr="00430FCA">
        <w:rPr>
          <w:rFonts w:cstheme="minorHAnsi"/>
          <w:sz w:val="22"/>
          <w:szCs w:val="22"/>
        </w:rPr>
        <w:t>N°</w:t>
      </w:r>
      <w:r w:rsidRPr="00430FCA">
        <w:rPr>
          <w:rFonts w:cstheme="minorHAnsi"/>
          <w:sz w:val="22"/>
          <w:szCs w:val="22"/>
        </w:rPr>
        <w:t xml:space="preserve">8 y </w:t>
      </w:r>
      <w:r w:rsidR="00E24783" w:rsidRPr="00430FCA">
        <w:rPr>
          <w:rFonts w:cstheme="minorHAnsi"/>
          <w:sz w:val="22"/>
          <w:szCs w:val="22"/>
        </w:rPr>
        <w:t>N°</w:t>
      </w:r>
      <w:r w:rsidRPr="00430FCA">
        <w:rPr>
          <w:rFonts w:cstheme="minorHAnsi"/>
          <w:sz w:val="22"/>
          <w:szCs w:val="22"/>
        </w:rPr>
        <w:t xml:space="preserve">29, del Decreto con fuerza de ley </w:t>
      </w:r>
      <w:r w:rsidR="00E24783" w:rsidRPr="00430FCA">
        <w:rPr>
          <w:rFonts w:cstheme="minorHAnsi"/>
          <w:sz w:val="22"/>
          <w:szCs w:val="22"/>
        </w:rPr>
        <w:t>N°</w:t>
      </w:r>
      <w:r w:rsidRPr="00430FCA">
        <w:rPr>
          <w:rFonts w:cstheme="minorHAnsi"/>
          <w:sz w:val="22"/>
          <w:szCs w:val="22"/>
        </w:rPr>
        <w:t xml:space="preserve">329, de 1979, del Ministerio de Hacienda, Ley Orgánica del Servicio Nacional de Aduanas; y, en las Resoluciones </w:t>
      </w:r>
      <w:proofErr w:type="spellStart"/>
      <w:r w:rsidRPr="00430FCA">
        <w:rPr>
          <w:rFonts w:cstheme="minorHAnsi"/>
          <w:sz w:val="22"/>
          <w:szCs w:val="22"/>
        </w:rPr>
        <w:t>Nº</w:t>
      </w:r>
      <w:proofErr w:type="spellEnd"/>
      <w:r w:rsidRPr="00430FCA">
        <w:rPr>
          <w:rFonts w:cstheme="minorHAnsi"/>
          <w:sz w:val="22"/>
          <w:szCs w:val="22"/>
        </w:rPr>
        <w:t xml:space="preserve"> 7</w:t>
      </w:r>
      <w:r w:rsidRPr="00430FCA">
        <w:rPr>
          <w:rFonts w:cstheme="minorHAnsi"/>
          <w:bCs/>
          <w:sz w:val="22"/>
          <w:szCs w:val="22"/>
          <w:lang w:val="es-CL"/>
        </w:rPr>
        <w:t xml:space="preserve">, de 2019 y </w:t>
      </w:r>
      <w:r w:rsidR="00E24783" w:rsidRPr="00430FCA">
        <w:rPr>
          <w:rFonts w:cstheme="minorHAnsi"/>
          <w:bCs/>
          <w:sz w:val="22"/>
          <w:szCs w:val="22"/>
          <w:lang w:val="es-CL"/>
        </w:rPr>
        <w:t>N°</w:t>
      </w:r>
      <w:r w:rsidRPr="00430FCA">
        <w:rPr>
          <w:rFonts w:cstheme="minorHAnsi"/>
          <w:bCs/>
          <w:sz w:val="22"/>
          <w:szCs w:val="22"/>
          <w:lang w:val="es-CL"/>
        </w:rPr>
        <w:t>16, de 2020, ambas de la Contraloría General de la República</w:t>
      </w:r>
      <w:r w:rsidRPr="00430FCA">
        <w:rPr>
          <w:rFonts w:cstheme="minorHAnsi"/>
          <w:sz w:val="22"/>
          <w:szCs w:val="22"/>
        </w:rPr>
        <w:t xml:space="preserve">, sobre exención del trámite de toma de razón, dicto la siguiente: </w:t>
      </w:r>
    </w:p>
    <w:p w14:paraId="796EF450" w14:textId="77777777" w:rsidR="00D541F8" w:rsidRPr="00430FCA" w:rsidRDefault="00D541F8" w:rsidP="00D541F8">
      <w:pPr>
        <w:jc w:val="both"/>
        <w:rPr>
          <w:rFonts w:cstheme="minorHAnsi"/>
          <w:sz w:val="22"/>
          <w:szCs w:val="22"/>
        </w:rPr>
      </w:pPr>
    </w:p>
    <w:p w14:paraId="309F9235" w14:textId="77777777" w:rsidR="00D541F8" w:rsidRPr="00430FCA" w:rsidRDefault="00D541F8" w:rsidP="00D541F8">
      <w:pPr>
        <w:jc w:val="both"/>
        <w:rPr>
          <w:rFonts w:cstheme="minorHAnsi"/>
          <w:sz w:val="22"/>
          <w:szCs w:val="22"/>
        </w:rPr>
      </w:pPr>
    </w:p>
    <w:p w14:paraId="74B8B984" w14:textId="77777777" w:rsidR="00D541F8" w:rsidRPr="00430FCA" w:rsidRDefault="00D541F8" w:rsidP="00D541F8">
      <w:pPr>
        <w:ind w:left="2832" w:firstLine="712"/>
        <w:jc w:val="both"/>
        <w:rPr>
          <w:rFonts w:cstheme="minorHAnsi"/>
          <w:b/>
          <w:sz w:val="22"/>
          <w:szCs w:val="22"/>
        </w:rPr>
      </w:pPr>
      <w:r w:rsidRPr="00430FCA">
        <w:rPr>
          <w:rFonts w:cstheme="minorHAnsi"/>
          <w:b/>
          <w:sz w:val="22"/>
          <w:szCs w:val="22"/>
        </w:rPr>
        <w:t>RESOLUCIÓN:</w:t>
      </w:r>
    </w:p>
    <w:p w14:paraId="6DB1FAFB" w14:textId="77777777" w:rsidR="00D541F8" w:rsidRPr="00430FCA" w:rsidRDefault="00D541F8" w:rsidP="00D541F8">
      <w:pPr>
        <w:pStyle w:val="Prrafodelista1"/>
        <w:ind w:left="0"/>
        <w:jc w:val="both"/>
        <w:rPr>
          <w:rFonts w:asciiTheme="minorHAnsi" w:hAnsiTheme="minorHAnsi" w:cstheme="minorHAnsi"/>
          <w:b/>
          <w:sz w:val="22"/>
          <w:szCs w:val="22"/>
        </w:rPr>
      </w:pPr>
    </w:p>
    <w:p w14:paraId="5FF65D1A" w14:textId="77777777" w:rsidR="00D541F8" w:rsidRPr="00430FCA" w:rsidRDefault="00D541F8" w:rsidP="00D541F8">
      <w:pPr>
        <w:pStyle w:val="Prrafodelista1"/>
        <w:numPr>
          <w:ilvl w:val="0"/>
          <w:numId w:val="5"/>
        </w:numPr>
        <w:tabs>
          <w:tab w:val="num" w:pos="-1776"/>
          <w:tab w:val="left" w:pos="0"/>
        </w:tabs>
        <w:ind w:left="708" w:hanging="708"/>
        <w:jc w:val="both"/>
        <w:rPr>
          <w:rFonts w:asciiTheme="minorHAnsi" w:hAnsiTheme="minorHAnsi" w:cstheme="minorHAnsi"/>
          <w:sz w:val="22"/>
          <w:szCs w:val="22"/>
        </w:rPr>
      </w:pPr>
      <w:bookmarkStart w:id="1" w:name="_Hlk108532276"/>
      <w:r w:rsidRPr="00430FCA">
        <w:rPr>
          <w:rFonts w:asciiTheme="minorHAnsi" w:hAnsiTheme="minorHAnsi" w:cstheme="minorHAnsi"/>
          <w:b/>
          <w:sz w:val="22"/>
          <w:szCs w:val="22"/>
        </w:rPr>
        <w:t xml:space="preserve">SUSTITÚYESE, </w:t>
      </w:r>
      <w:r w:rsidRPr="00430FCA">
        <w:rPr>
          <w:rFonts w:asciiTheme="minorHAnsi" w:hAnsiTheme="minorHAnsi" w:cstheme="minorHAnsi"/>
          <w:sz w:val="22"/>
          <w:szCs w:val="22"/>
        </w:rPr>
        <w:t>el numeral 11 del Subcapítulo II sobre “Valoración en aduana de las mercancías. Casos especiales” del Capítulo II “Valoración de las Mercancías”, del Compendio de Normas Aduaneras, por el siguiente:</w:t>
      </w:r>
    </w:p>
    <w:bookmarkEnd w:id="1"/>
    <w:p w14:paraId="095E9A45" w14:textId="77777777" w:rsidR="00D541F8" w:rsidRPr="00430FCA" w:rsidRDefault="00D541F8" w:rsidP="00D541F8">
      <w:pPr>
        <w:jc w:val="both"/>
        <w:rPr>
          <w:rFonts w:cstheme="minorHAnsi"/>
          <w:sz w:val="22"/>
          <w:szCs w:val="22"/>
        </w:rPr>
      </w:pPr>
    </w:p>
    <w:p w14:paraId="0D510B28" w14:textId="77777777" w:rsidR="00D541F8" w:rsidRPr="00430FCA" w:rsidRDefault="00D541F8" w:rsidP="00D541F8">
      <w:pPr>
        <w:jc w:val="both"/>
        <w:rPr>
          <w:rFonts w:cstheme="minorHAnsi"/>
          <w:b/>
          <w:bCs/>
          <w:sz w:val="22"/>
          <w:szCs w:val="22"/>
        </w:rPr>
      </w:pPr>
      <w:r w:rsidRPr="00430FCA">
        <w:rPr>
          <w:rFonts w:cstheme="minorHAnsi"/>
          <w:bCs/>
          <w:sz w:val="22"/>
          <w:szCs w:val="22"/>
        </w:rPr>
        <w:t>“</w:t>
      </w:r>
      <w:r w:rsidRPr="00430FCA">
        <w:rPr>
          <w:rFonts w:cstheme="minorHAnsi"/>
          <w:b/>
          <w:bCs/>
          <w:sz w:val="22"/>
          <w:szCs w:val="22"/>
        </w:rPr>
        <w:t>11. Mercancías en arrendamiento u objeto de leasing</w:t>
      </w:r>
    </w:p>
    <w:p w14:paraId="7925B8F2" w14:textId="77777777" w:rsidR="00D541F8" w:rsidRPr="00430FCA" w:rsidRDefault="00D541F8" w:rsidP="00D541F8">
      <w:pPr>
        <w:jc w:val="both"/>
        <w:rPr>
          <w:rFonts w:cstheme="minorHAnsi"/>
          <w:b/>
          <w:bCs/>
          <w:sz w:val="22"/>
          <w:szCs w:val="22"/>
        </w:rPr>
      </w:pPr>
    </w:p>
    <w:p w14:paraId="37351DB1" w14:textId="77777777" w:rsidR="00D541F8" w:rsidRPr="00430FCA" w:rsidRDefault="00D541F8" w:rsidP="00D541F8">
      <w:pPr>
        <w:jc w:val="both"/>
        <w:rPr>
          <w:rFonts w:cstheme="minorHAnsi"/>
          <w:sz w:val="22"/>
          <w:szCs w:val="22"/>
        </w:rPr>
      </w:pPr>
      <w:r w:rsidRPr="00430FCA">
        <w:rPr>
          <w:rFonts w:cstheme="minorHAnsi"/>
          <w:sz w:val="22"/>
          <w:szCs w:val="22"/>
        </w:rPr>
        <w:t xml:space="preserve">11.1 El valor aduanero de las mercancías arrendadas o en leasing, nuevas o usadas, se podrá determinar sobre la base de la aplicación sucesiva de los métodos previstos en los artículos 2 a 6 del Acuerdo sobre Valoración Aduanera y en concordancia con lo establecido en el numeral 3 del presente capítulo. </w:t>
      </w:r>
    </w:p>
    <w:p w14:paraId="0BC0D9DC" w14:textId="77777777" w:rsidR="00D541F8" w:rsidRPr="00430FCA" w:rsidRDefault="00D541F8" w:rsidP="00D541F8">
      <w:pPr>
        <w:pStyle w:val="Textocomentario"/>
        <w:rPr>
          <w:rFonts w:asciiTheme="minorHAnsi" w:hAnsiTheme="minorHAnsi" w:cstheme="minorHAnsi"/>
          <w:sz w:val="22"/>
          <w:szCs w:val="22"/>
        </w:rPr>
      </w:pPr>
    </w:p>
    <w:p w14:paraId="00727623" w14:textId="77777777" w:rsidR="00D541F8" w:rsidRPr="00430FCA" w:rsidRDefault="00D541F8" w:rsidP="00D541F8">
      <w:pPr>
        <w:jc w:val="both"/>
        <w:rPr>
          <w:rFonts w:cstheme="minorHAnsi"/>
          <w:sz w:val="22"/>
          <w:szCs w:val="22"/>
        </w:rPr>
      </w:pPr>
      <w:r w:rsidRPr="00430FCA">
        <w:rPr>
          <w:rFonts w:cstheme="minorHAnsi"/>
          <w:sz w:val="22"/>
          <w:szCs w:val="22"/>
        </w:rPr>
        <w:t>Cuando hayan fallado todos los intentos de determinar el valor en aduana con arreglo a lo dispuesto en el párrafo anterior, se podrá aplicar lo dispuesto en el artículo 7 del Acuerdo. En primer lugar, se deben aplicar los métodos establecidos en los artículos 1 a 6 con una flexibilidad razonable. Si lo anterior no permite determinar el valor en aduana, se pueden aplicar criterios razonables, como por ejemplo basarse en precios de lista vigentes, en el valor determinado por un perito, en el precio de la opción de compra si esta es fijada al inicio del contrato o en la suma de los pagos por alquileres previstos en el contrato y del importe residual exigido cuando la opción de compra es posterior; en caso que no hubiere opción de compra, el cálculo del valor podría realizarse a partir de la suma total presunta de los alquileres pagaderos durante la vida útil de las mercancías. Se deberá considerar si resulta pertinente realizar ajustes conforme a lo dispuesto en el artículo 8 del Acuerdo y a las deducciones o adiciones que indique el contrato.</w:t>
      </w:r>
    </w:p>
    <w:p w14:paraId="422ACC72" w14:textId="77777777" w:rsidR="00D541F8" w:rsidRPr="00430FCA" w:rsidRDefault="00D541F8" w:rsidP="00D541F8">
      <w:pPr>
        <w:jc w:val="both"/>
        <w:rPr>
          <w:rFonts w:cstheme="minorHAnsi"/>
          <w:sz w:val="22"/>
          <w:szCs w:val="22"/>
        </w:rPr>
      </w:pPr>
    </w:p>
    <w:p w14:paraId="7EF1FFF0" w14:textId="57BF7C06" w:rsidR="00D541F8" w:rsidRPr="00430FCA" w:rsidRDefault="00D541F8" w:rsidP="00D541F8">
      <w:pPr>
        <w:jc w:val="both"/>
        <w:rPr>
          <w:rFonts w:cstheme="minorHAnsi"/>
          <w:sz w:val="22"/>
          <w:szCs w:val="22"/>
          <w:lang w:val="es-CL"/>
        </w:rPr>
      </w:pPr>
      <w:r w:rsidRPr="00430FCA">
        <w:rPr>
          <w:rFonts w:cstheme="minorHAnsi"/>
          <w:sz w:val="22"/>
          <w:szCs w:val="22"/>
        </w:rPr>
        <w:t xml:space="preserve">Para el evento que, con posterioridad a la legalización de la destinación aduanera, se efectúen modificaciones al contrato o se ejecuten cláusulas del mismo que puedan incidir en la valoración de las mercancías, </w:t>
      </w:r>
      <w:r w:rsidR="00D97029" w:rsidRPr="00430FCA">
        <w:rPr>
          <w:rFonts w:cstheme="minorHAnsi"/>
          <w:sz w:val="22"/>
          <w:szCs w:val="22"/>
        </w:rPr>
        <w:t xml:space="preserve">el consignatario </w:t>
      </w:r>
      <w:r w:rsidRPr="00430FCA">
        <w:rPr>
          <w:rFonts w:cstheme="minorHAnsi"/>
          <w:sz w:val="22"/>
          <w:szCs w:val="22"/>
        </w:rPr>
        <w:t>deberá hacer llegar los antecedentes respectivos dentro del plazo de 20 días hábiles siguientes de efectuada la modificación o ejecutadas las cláusulas del mismo, a la Aduana respectiva, a efectos de evaluar la procedencia de efectuar ajustes y determinar si corresponde el pago de diferencias de derechos, impuestos y demás gravámenes.</w:t>
      </w:r>
      <w:r w:rsidR="00790870">
        <w:rPr>
          <w:rFonts w:cstheme="minorHAnsi"/>
          <w:sz w:val="22"/>
          <w:szCs w:val="22"/>
        </w:rPr>
        <w:t xml:space="preserve"> </w:t>
      </w:r>
    </w:p>
    <w:p w14:paraId="24F48D48" w14:textId="77777777" w:rsidR="00D541F8" w:rsidRPr="00430FCA" w:rsidRDefault="00D541F8" w:rsidP="00D541F8">
      <w:pPr>
        <w:jc w:val="both"/>
        <w:rPr>
          <w:rFonts w:cstheme="minorHAnsi"/>
          <w:sz w:val="22"/>
          <w:szCs w:val="22"/>
        </w:rPr>
      </w:pPr>
    </w:p>
    <w:p w14:paraId="54DCB6A2" w14:textId="161662A3" w:rsidR="00D541F8" w:rsidRPr="00430FCA" w:rsidRDefault="00D541F8" w:rsidP="00D541F8">
      <w:pPr>
        <w:jc w:val="both"/>
        <w:rPr>
          <w:rFonts w:cstheme="minorHAnsi"/>
          <w:sz w:val="22"/>
          <w:szCs w:val="22"/>
        </w:rPr>
      </w:pPr>
      <w:r w:rsidRPr="00430FCA">
        <w:rPr>
          <w:rFonts w:cstheme="minorHAnsi"/>
          <w:sz w:val="22"/>
          <w:szCs w:val="22"/>
        </w:rPr>
        <w:t xml:space="preserve">En caso de dudas, se podrá requerir una resolución anticipada de valoración, en los términos establecidos en la Resolución </w:t>
      </w:r>
      <w:r w:rsidR="00E24783" w:rsidRPr="00430FCA">
        <w:rPr>
          <w:rFonts w:cstheme="minorHAnsi"/>
          <w:sz w:val="22"/>
          <w:szCs w:val="22"/>
        </w:rPr>
        <w:t>N°</w:t>
      </w:r>
      <w:r w:rsidRPr="00430FCA">
        <w:rPr>
          <w:rFonts w:cstheme="minorHAnsi"/>
          <w:sz w:val="22"/>
          <w:szCs w:val="22"/>
        </w:rPr>
        <w:t xml:space="preserve">1629 de 2020, del </w:t>
      </w:r>
      <w:proofErr w:type="gramStart"/>
      <w:r w:rsidRPr="00430FCA">
        <w:rPr>
          <w:rFonts w:cstheme="minorHAnsi"/>
          <w:sz w:val="22"/>
          <w:szCs w:val="22"/>
        </w:rPr>
        <w:t>Director Nacional</w:t>
      </w:r>
      <w:proofErr w:type="gramEnd"/>
      <w:r w:rsidRPr="00430FCA">
        <w:rPr>
          <w:rFonts w:cstheme="minorHAnsi"/>
          <w:sz w:val="22"/>
          <w:szCs w:val="22"/>
        </w:rPr>
        <w:t xml:space="preserve"> de Aduanas.</w:t>
      </w:r>
    </w:p>
    <w:p w14:paraId="32573686" w14:textId="77777777" w:rsidR="00D541F8" w:rsidRPr="00430FCA" w:rsidRDefault="00D541F8" w:rsidP="00D541F8">
      <w:pPr>
        <w:jc w:val="both"/>
        <w:rPr>
          <w:rFonts w:cstheme="minorHAnsi"/>
          <w:sz w:val="22"/>
          <w:szCs w:val="22"/>
        </w:rPr>
      </w:pPr>
    </w:p>
    <w:p w14:paraId="56D38C11" w14:textId="77777777" w:rsidR="00D541F8" w:rsidRPr="00430FCA" w:rsidRDefault="00D541F8" w:rsidP="00D541F8">
      <w:pPr>
        <w:jc w:val="both"/>
        <w:rPr>
          <w:rFonts w:cstheme="minorHAnsi"/>
          <w:sz w:val="22"/>
          <w:szCs w:val="22"/>
        </w:rPr>
      </w:pPr>
      <w:r w:rsidRPr="00430FCA">
        <w:rPr>
          <w:rFonts w:cstheme="minorHAnsi"/>
          <w:sz w:val="22"/>
          <w:szCs w:val="22"/>
        </w:rPr>
        <w:t>11.2. Formarán parte del valor aduanero, los gastos señalados en el numeral 2.7 de este mismo Capítulo y cualquier otro gasto de cargo del arrendatario, como los gastos de restitución o devolución de las mercancías a su arrendador, aun cuando el contrato respectivo no los incluya.”</w:t>
      </w:r>
    </w:p>
    <w:p w14:paraId="0CB15CC5" w14:textId="77777777" w:rsidR="00D541F8" w:rsidRPr="00430FCA" w:rsidRDefault="00D541F8" w:rsidP="00D541F8">
      <w:pPr>
        <w:jc w:val="both"/>
        <w:rPr>
          <w:rFonts w:cstheme="minorHAnsi"/>
          <w:sz w:val="22"/>
          <w:szCs w:val="22"/>
        </w:rPr>
      </w:pPr>
    </w:p>
    <w:p w14:paraId="0B4096F6" w14:textId="77777777" w:rsidR="00D541F8" w:rsidRPr="00430FCA" w:rsidRDefault="00D541F8" w:rsidP="00D541F8">
      <w:pPr>
        <w:jc w:val="both"/>
        <w:rPr>
          <w:rFonts w:cstheme="minorHAnsi"/>
          <w:b/>
          <w:bCs/>
          <w:sz w:val="22"/>
          <w:szCs w:val="22"/>
        </w:rPr>
      </w:pPr>
    </w:p>
    <w:p w14:paraId="47EC00FB" w14:textId="77777777" w:rsidR="00D541F8" w:rsidRPr="00430FCA" w:rsidRDefault="00D541F8" w:rsidP="00D541F8">
      <w:pPr>
        <w:pStyle w:val="Prrafodelista1"/>
        <w:numPr>
          <w:ilvl w:val="0"/>
          <w:numId w:val="5"/>
        </w:numPr>
        <w:tabs>
          <w:tab w:val="num" w:pos="-1776"/>
          <w:tab w:val="left" w:pos="0"/>
        </w:tabs>
        <w:ind w:left="567" w:hanging="567"/>
        <w:jc w:val="both"/>
        <w:rPr>
          <w:rFonts w:asciiTheme="minorHAnsi" w:hAnsiTheme="minorHAnsi" w:cstheme="minorHAnsi"/>
          <w:sz w:val="22"/>
          <w:szCs w:val="22"/>
        </w:rPr>
      </w:pPr>
      <w:r w:rsidRPr="00430FCA">
        <w:rPr>
          <w:rFonts w:asciiTheme="minorHAnsi" w:hAnsiTheme="minorHAnsi" w:cstheme="minorHAnsi"/>
          <w:b/>
          <w:sz w:val="22"/>
          <w:szCs w:val="22"/>
        </w:rPr>
        <w:t>MODIFÍCASE</w:t>
      </w:r>
      <w:r w:rsidRPr="00430FCA">
        <w:rPr>
          <w:rFonts w:asciiTheme="minorHAnsi" w:hAnsiTheme="minorHAnsi" w:cstheme="minorHAnsi"/>
          <w:sz w:val="22"/>
          <w:szCs w:val="22"/>
        </w:rPr>
        <w:t>, el Capítulo III “Ingreso de Mercancías”, del Compendio de Normas Aduaneras, como sigue:</w:t>
      </w:r>
    </w:p>
    <w:p w14:paraId="43EE7E11" w14:textId="77777777" w:rsidR="00D541F8" w:rsidRPr="00430FCA" w:rsidRDefault="00D541F8" w:rsidP="00D541F8">
      <w:pPr>
        <w:pStyle w:val="Prrafodelista1"/>
        <w:ind w:left="567"/>
        <w:jc w:val="both"/>
        <w:rPr>
          <w:rFonts w:asciiTheme="minorHAnsi" w:hAnsiTheme="minorHAnsi" w:cstheme="minorHAnsi"/>
          <w:b/>
          <w:sz w:val="22"/>
          <w:szCs w:val="22"/>
        </w:rPr>
      </w:pPr>
    </w:p>
    <w:p w14:paraId="2F6726B2" w14:textId="04163187" w:rsidR="00D541F8" w:rsidRPr="00430FCA" w:rsidRDefault="00D541F8" w:rsidP="00D541F8">
      <w:pPr>
        <w:pStyle w:val="Prrafodelista1"/>
        <w:ind w:left="567"/>
        <w:jc w:val="both"/>
        <w:rPr>
          <w:rFonts w:asciiTheme="minorHAnsi" w:hAnsiTheme="minorHAnsi" w:cstheme="minorHAnsi"/>
          <w:bCs/>
          <w:sz w:val="22"/>
          <w:szCs w:val="22"/>
        </w:rPr>
      </w:pPr>
      <w:r w:rsidRPr="00430FCA">
        <w:rPr>
          <w:rFonts w:asciiTheme="minorHAnsi" w:hAnsiTheme="minorHAnsi" w:cstheme="minorHAnsi"/>
          <w:b/>
          <w:sz w:val="22"/>
          <w:szCs w:val="22"/>
        </w:rPr>
        <w:t xml:space="preserve">2.1 AGREGÁSE, </w:t>
      </w:r>
      <w:r w:rsidRPr="00430FCA">
        <w:rPr>
          <w:rFonts w:asciiTheme="minorHAnsi" w:hAnsiTheme="minorHAnsi" w:cstheme="minorHAnsi"/>
          <w:bCs/>
          <w:sz w:val="22"/>
          <w:szCs w:val="22"/>
        </w:rPr>
        <w:t xml:space="preserve">en la letra c) del numeral 10.1, </w:t>
      </w:r>
      <w:r w:rsidR="00A17045">
        <w:rPr>
          <w:rFonts w:asciiTheme="minorHAnsi" w:hAnsiTheme="minorHAnsi" w:cstheme="minorHAnsi"/>
          <w:bCs/>
          <w:sz w:val="22"/>
          <w:szCs w:val="22"/>
        </w:rPr>
        <w:t>el siguiente párrafo final</w:t>
      </w:r>
      <w:r w:rsidRPr="00430FCA">
        <w:rPr>
          <w:rFonts w:asciiTheme="minorHAnsi" w:hAnsiTheme="minorHAnsi" w:cstheme="minorHAnsi"/>
          <w:bCs/>
          <w:sz w:val="22"/>
          <w:szCs w:val="22"/>
        </w:rPr>
        <w:t>:</w:t>
      </w:r>
    </w:p>
    <w:p w14:paraId="2344504F" w14:textId="77777777" w:rsidR="00D541F8" w:rsidRPr="00430FCA" w:rsidRDefault="00D541F8" w:rsidP="00D541F8">
      <w:pPr>
        <w:pStyle w:val="Prrafodelista1"/>
        <w:ind w:left="567"/>
        <w:jc w:val="both"/>
        <w:rPr>
          <w:rFonts w:asciiTheme="minorHAnsi" w:hAnsiTheme="minorHAnsi" w:cstheme="minorHAnsi"/>
          <w:bCs/>
          <w:sz w:val="22"/>
          <w:szCs w:val="22"/>
        </w:rPr>
      </w:pPr>
    </w:p>
    <w:p w14:paraId="0EC9B1C8" w14:textId="24A12F46" w:rsidR="00D541F8" w:rsidRPr="00430FCA" w:rsidRDefault="00D541F8" w:rsidP="00D541F8">
      <w:pPr>
        <w:pStyle w:val="Prrafodelista1"/>
        <w:ind w:left="567"/>
        <w:jc w:val="both"/>
        <w:rPr>
          <w:rFonts w:asciiTheme="minorHAnsi" w:hAnsiTheme="minorHAnsi" w:cstheme="minorHAnsi"/>
          <w:bCs/>
          <w:sz w:val="22"/>
          <w:szCs w:val="22"/>
        </w:rPr>
      </w:pPr>
      <w:r w:rsidRPr="00430FCA">
        <w:rPr>
          <w:rFonts w:asciiTheme="minorHAnsi" w:hAnsiTheme="minorHAnsi" w:cstheme="minorHAnsi"/>
          <w:bCs/>
          <w:sz w:val="22"/>
          <w:szCs w:val="22"/>
        </w:rPr>
        <w:t xml:space="preserve">“En caso de mercancías que ingresen al país en modalidad de arrendamiento o leasing, deberá estarse a lo regulado en el literal </w:t>
      </w:r>
      <w:proofErr w:type="spellStart"/>
      <w:r w:rsidR="005A22B5">
        <w:rPr>
          <w:rFonts w:asciiTheme="minorHAnsi" w:hAnsiTheme="minorHAnsi" w:cstheme="minorHAnsi"/>
          <w:bCs/>
          <w:sz w:val="22"/>
          <w:szCs w:val="22"/>
        </w:rPr>
        <w:t>tt</w:t>
      </w:r>
      <w:proofErr w:type="spellEnd"/>
      <w:r w:rsidRPr="00430FCA">
        <w:rPr>
          <w:rFonts w:asciiTheme="minorHAnsi" w:hAnsiTheme="minorHAnsi" w:cstheme="minorHAnsi"/>
          <w:bCs/>
          <w:sz w:val="22"/>
          <w:szCs w:val="22"/>
        </w:rPr>
        <w:t xml:space="preserve"> del presente numeral.”</w:t>
      </w:r>
    </w:p>
    <w:p w14:paraId="6AB5F948" w14:textId="77777777" w:rsidR="00D541F8" w:rsidRPr="00430FCA" w:rsidRDefault="00D541F8" w:rsidP="00D541F8">
      <w:pPr>
        <w:pStyle w:val="Prrafodelista1"/>
        <w:ind w:left="567"/>
        <w:jc w:val="both"/>
        <w:rPr>
          <w:rFonts w:asciiTheme="minorHAnsi" w:hAnsiTheme="minorHAnsi" w:cstheme="minorHAnsi"/>
          <w:bCs/>
          <w:sz w:val="22"/>
          <w:szCs w:val="22"/>
        </w:rPr>
      </w:pPr>
    </w:p>
    <w:p w14:paraId="62291EC3" w14:textId="37F701B4" w:rsidR="00D541F8" w:rsidRPr="00430FCA" w:rsidRDefault="00D541F8" w:rsidP="00D541F8">
      <w:pPr>
        <w:pStyle w:val="Prrafodelista1"/>
        <w:ind w:left="567"/>
        <w:jc w:val="both"/>
        <w:rPr>
          <w:rFonts w:asciiTheme="minorHAnsi" w:hAnsiTheme="minorHAnsi" w:cstheme="minorHAnsi"/>
          <w:bCs/>
          <w:sz w:val="22"/>
          <w:szCs w:val="22"/>
        </w:rPr>
      </w:pPr>
      <w:r w:rsidRPr="00430FCA">
        <w:rPr>
          <w:rFonts w:asciiTheme="minorHAnsi" w:hAnsiTheme="minorHAnsi" w:cstheme="minorHAnsi"/>
          <w:b/>
          <w:sz w:val="22"/>
          <w:szCs w:val="22"/>
        </w:rPr>
        <w:t xml:space="preserve">2.2 AGRÉGASE, </w:t>
      </w:r>
      <w:r w:rsidRPr="00430FCA">
        <w:rPr>
          <w:rFonts w:asciiTheme="minorHAnsi" w:hAnsiTheme="minorHAnsi" w:cstheme="minorHAnsi"/>
          <w:bCs/>
          <w:sz w:val="22"/>
          <w:szCs w:val="22"/>
        </w:rPr>
        <w:t xml:space="preserve">al numeral 10.1, </w:t>
      </w:r>
      <w:r w:rsidRPr="00430FCA">
        <w:rPr>
          <w:rFonts w:asciiTheme="minorHAnsi" w:hAnsiTheme="minorHAnsi" w:cstheme="minorHAnsi"/>
          <w:sz w:val="22"/>
          <w:szCs w:val="22"/>
        </w:rPr>
        <w:t xml:space="preserve">como documento que sirve de base para la confección de la declaración de ingreso, el siguiente literal </w:t>
      </w:r>
      <w:proofErr w:type="spellStart"/>
      <w:r w:rsidR="005A22B5">
        <w:rPr>
          <w:rFonts w:asciiTheme="minorHAnsi" w:hAnsiTheme="minorHAnsi" w:cstheme="minorHAnsi"/>
          <w:sz w:val="22"/>
          <w:szCs w:val="22"/>
        </w:rPr>
        <w:t>tt</w:t>
      </w:r>
      <w:proofErr w:type="spellEnd"/>
      <w:r w:rsidRPr="00430FCA">
        <w:rPr>
          <w:rFonts w:asciiTheme="minorHAnsi" w:hAnsiTheme="minorHAnsi" w:cstheme="minorHAnsi"/>
          <w:sz w:val="22"/>
          <w:szCs w:val="22"/>
        </w:rPr>
        <w:t>):</w:t>
      </w:r>
    </w:p>
    <w:p w14:paraId="5E8E1659" w14:textId="77777777" w:rsidR="00D541F8" w:rsidRPr="00430FCA" w:rsidRDefault="00D541F8" w:rsidP="00D541F8">
      <w:pPr>
        <w:pStyle w:val="Prrafodelista1"/>
        <w:ind w:left="567"/>
        <w:jc w:val="both"/>
        <w:rPr>
          <w:rFonts w:asciiTheme="minorHAnsi" w:hAnsiTheme="minorHAnsi" w:cstheme="minorHAnsi"/>
          <w:sz w:val="22"/>
          <w:szCs w:val="22"/>
        </w:rPr>
      </w:pPr>
    </w:p>
    <w:p w14:paraId="0BFC49AC" w14:textId="34DB6FE0" w:rsidR="00D541F8" w:rsidRPr="00430FCA" w:rsidRDefault="00D541F8" w:rsidP="00D541F8">
      <w:pPr>
        <w:pStyle w:val="Prrafodelista1"/>
        <w:ind w:left="567"/>
        <w:jc w:val="both"/>
        <w:rPr>
          <w:rFonts w:asciiTheme="minorHAnsi" w:hAnsiTheme="minorHAnsi" w:cstheme="minorHAnsi"/>
          <w:sz w:val="22"/>
          <w:szCs w:val="22"/>
        </w:rPr>
      </w:pPr>
      <w:r w:rsidRPr="00430FCA">
        <w:rPr>
          <w:rFonts w:asciiTheme="minorHAnsi" w:hAnsiTheme="minorHAnsi" w:cstheme="minorHAnsi"/>
          <w:sz w:val="22"/>
          <w:szCs w:val="22"/>
        </w:rPr>
        <w:t>“</w:t>
      </w:r>
      <w:proofErr w:type="spellStart"/>
      <w:r w:rsidR="005A22B5">
        <w:rPr>
          <w:rFonts w:asciiTheme="minorHAnsi" w:hAnsiTheme="minorHAnsi" w:cstheme="minorHAnsi"/>
          <w:sz w:val="22"/>
          <w:szCs w:val="22"/>
        </w:rPr>
        <w:t>tt</w:t>
      </w:r>
      <w:proofErr w:type="spellEnd"/>
      <w:r w:rsidRPr="00430FCA">
        <w:rPr>
          <w:rFonts w:asciiTheme="minorHAnsi" w:hAnsiTheme="minorHAnsi" w:cstheme="minorHAnsi"/>
          <w:sz w:val="22"/>
          <w:szCs w:val="22"/>
        </w:rPr>
        <w:t xml:space="preserve">) En caso de mercancías que ingresen al país en modalidad de arrendamiento o leasing, para confeccionar la declaración de ingreso se deberá contar con una copia del contrato de arrendamiento o leasing. </w:t>
      </w:r>
      <w:r w:rsidR="004276E7">
        <w:rPr>
          <w:rFonts w:asciiTheme="minorHAnsi" w:hAnsiTheme="minorHAnsi" w:cstheme="minorHAnsi"/>
          <w:sz w:val="22"/>
          <w:szCs w:val="22"/>
        </w:rPr>
        <w:t>Además,</w:t>
      </w:r>
      <w:r w:rsidRPr="00430FCA">
        <w:rPr>
          <w:rFonts w:asciiTheme="minorHAnsi" w:hAnsiTheme="minorHAnsi" w:cstheme="minorHAnsi"/>
          <w:sz w:val="22"/>
          <w:szCs w:val="22"/>
        </w:rPr>
        <w:t xml:space="preserve"> </w:t>
      </w:r>
      <w:r w:rsidR="003F5C96">
        <w:rPr>
          <w:rFonts w:asciiTheme="minorHAnsi" w:hAnsiTheme="minorHAnsi" w:cstheme="minorHAnsi"/>
          <w:sz w:val="22"/>
          <w:szCs w:val="22"/>
        </w:rPr>
        <w:t xml:space="preserve">en lugar de </w:t>
      </w:r>
      <w:r w:rsidRPr="00430FCA">
        <w:rPr>
          <w:rFonts w:asciiTheme="minorHAnsi" w:hAnsiTheme="minorHAnsi" w:cstheme="minorHAnsi"/>
          <w:sz w:val="22"/>
          <w:szCs w:val="22"/>
        </w:rPr>
        <w:t xml:space="preserve">la factura comercial a que se refiere la letra c) del presente numeral, </w:t>
      </w:r>
      <w:r w:rsidR="003F5C96">
        <w:rPr>
          <w:rFonts w:asciiTheme="minorHAnsi" w:hAnsiTheme="minorHAnsi" w:cstheme="minorHAnsi"/>
          <w:sz w:val="22"/>
          <w:szCs w:val="22"/>
        </w:rPr>
        <w:t xml:space="preserve">se </w:t>
      </w:r>
      <w:r w:rsidRPr="00430FCA">
        <w:rPr>
          <w:rFonts w:asciiTheme="minorHAnsi" w:hAnsiTheme="minorHAnsi" w:cstheme="minorHAnsi"/>
          <w:sz w:val="22"/>
          <w:szCs w:val="22"/>
        </w:rPr>
        <w:t xml:space="preserve">podrá </w:t>
      </w:r>
      <w:r w:rsidR="003F5C96">
        <w:rPr>
          <w:rFonts w:asciiTheme="minorHAnsi" w:hAnsiTheme="minorHAnsi" w:cstheme="minorHAnsi"/>
          <w:sz w:val="22"/>
          <w:szCs w:val="22"/>
        </w:rPr>
        <w:t>utilizar</w:t>
      </w:r>
      <w:r w:rsidRPr="00430FCA">
        <w:rPr>
          <w:rFonts w:asciiTheme="minorHAnsi" w:hAnsiTheme="minorHAnsi" w:cstheme="minorHAnsi"/>
          <w:sz w:val="22"/>
          <w:szCs w:val="22"/>
        </w:rPr>
        <w:t xml:space="preserve"> una factura </w:t>
      </w:r>
      <w:proofErr w:type="spellStart"/>
      <w:r w:rsidRPr="00430FCA">
        <w:rPr>
          <w:rFonts w:asciiTheme="minorHAnsi" w:hAnsiTheme="minorHAnsi" w:cstheme="minorHAnsi"/>
          <w:sz w:val="22"/>
          <w:szCs w:val="22"/>
        </w:rPr>
        <w:t>pro-forma</w:t>
      </w:r>
      <w:proofErr w:type="spellEnd"/>
      <w:r w:rsidRPr="00430FCA">
        <w:rPr>
          <w:rFonts w:asciiTheme="minorHAnsi" w:hAnsiTheme="minorHAnsi" w:cstheme="minorHAnsi"/>
          <w:sz w:val="22"/>
          <w:szCs w:val="22"/>
        </w:rPr>
        <w:t xml:space="preserve"> emitida por el arrendador, la cual deberá indicar expresamente que tal mercancía se encuentra en dicha modalidad. Asimismo, se deberá acompañar el Anexo </w:t>
      </w:r>
      <w:r w:rsidRPr="00430FCA">
        <w:rPr>
          <w:rFonts w:asciiTheme="minorHAnsi" w:hAnsiTheme="minorHAnsi" w:cstheme="minorHAnsi"/>
          <w:sz w:val="22"/>
          <w:szCs w:val="22"/>
        </w:rPr>
        <w:t>9</w:t>
      </w:r>
      <w:r w:rsidRPr="00430FCA">
        <w:rPr>
          <w:rFonts w:asciiTheme="minorHAnsi" w:hAnsiTheme="minorHAnsi" w:cstheme="minorHAnsi"/>
          <w:sz w:val="22"/>
          <w:szCs w:val="22"/>
        </w:rPr>
        <w:t>8</w:t>
      </w:r>
      <w:r w:rsidRPr="00430FCA">
        <w:rPr>
          <w:rFonts w:asciiTheme="minorHAnsi" w:hAnsiTheme="minorHAnsi" w:cstheme="minorHAnsi"/>
          <w:sz w:val="22"/>
          <w:szCs w:val="22"/>
        </w:rPr>
        <w:t xml:space="preserve"> </w:t>
      </w:r>
      <w:r w:rsidRPr="00430FCA">
        <w:rPr>
          <w:rFonts w:asciiTheme="minorHAnsi" w:hAnsiTheme="minorHAnsi" w:cstheme="minorHAnsi"/>
          <w:sz w:val="22"/>
          <w:szCs w:val="22"/>
        </w:rPr>
        <w:t>denominado “Declaración Jurada para mercancía en arrendamiento o leasing” de este mismo Compendio.”</w:t>
      </w:r>
    </w:p>
    <w:p w14:paraId="68A31031" w14:textId="77777777" w:rsidR="00D541F8" w:rsidRPr="00430FCA" w:rsidRDefault="00D541F8" w:rsidP="00D541F8">
      <w:pPr>
        <w:pStyle w:val="Prrafodelista1"/>
        <w:ind w:left="567"/>
        <w:jc w:val="both"/>
        <w:rPr>
          <w:rFonts w:asciiTheme="minorHAnsi" w:hAnsiTheme="minorHAnsi" w:cstheme="minorHAnsi"/>
          <w:sz w:val="22"/>
          <w:szCs w:val="22"/>
        </w:rPr>
      </w:pPr>
    </w:p>
    <w:p w14:paraId="52B1174B" w14:textId="77777777" w:rsidR="00D541F8" w:rsidRPr="00430FCA" w:rsidRDefault="00D541F8" w:rsidP="00D541F8">
      <w:pPr>
        <w:pStyle w:val="Prrafodelista1"/>
        <w:ind w:left="567"/>
        <w:jc w:val="both"/>
        <w:rPr>
          <w:rFonts w:asciiTheme="minorHAnsi" w:hAnsiTheme="minorHAnsi" w:cstheme="minorHAnsi"/>
          <w:sz w:val="22"/>
          <w:szCs w:val="22"/>
        </w:rPr>
      </w:pPr>
      <w:r w:rsidRPr="00430FCA">
        <w:rPr>
          <w:rFonts w:asciiTheme="minorHAnsi" w:hAnsiTheme="minorHAnsi" w:cstheme="minorHAnsi"/>
          <w:b/>
          <w:sz w:val="22"/>
          <w:szCs w:val="22"/>
        </w:rPr>
        <w:t>2.3</w:t>
      </w:r>
      <w:r w:rsidRPr="00430FCA">
        <w:rPr>
          <w:rFonts w:asciiTheme="minorHAnsi" w:hAnsiTheme="minorHAnsi" w:cstheme="minorHAnsi"/>
          <w:sz w:val="22"/>
          <w:szCs w:val="22"/>
        </w:rPr>
        <w:t xml:space="preserve"> </w:t>
      </w:r>
      <w:r w:rsidRPr="00430FCA">
        <w:rPr>
          <w:rFonts w:asciiTheme="minorHAnsi" w:hAnsiTheme="minorHAnsi" w:cstheme="minorHAnsi"/>
          <w:b/>
          <w:bCs/>
          <w:sz w:val="22"/>
          <w:szCs w:val="22"/>
        </w:rPr>
        <w:t>AGRÉGASE</w:t>
      </w:r>
      <w:r w:rsidRPr="00430FCA">
        <w:rPr>
          <w:rFonts w:asciiTheme="minorHAnsi" w:hAnsiTheme="minorHAnsi" w:cstheme="minorHAnsi"/>
          <w:sz w:val="22"/>
          <w:szCs w:val="22"/>
        </w:rPr>
        <w:t>, en la letra a), del numeral 17.7 (Documentos que sirven de base para la confección de la Declaración de Admisión Temporal), el siguiente párrafo final:</w:t>
      </w:r>
    </w:p>
    <w:p w14:paraId="6ED77CDF" w14:textId="77777777" w:rsidR="00D541F8" w:rsidRPr="00430FCA" w:rsidRDefault="00D541F8" w:rsidP="00D541F8">
      <w:pPr>
        <w:pStyle w:val="Prrafodelista1"/>
        <w:ind w:left="567"/>
        <w:jc w:val="both"/>
        <w:rPr>
          <w:rFonts w:asciiTheme="minorHAnsi" w:hAnsiTheme="minorHAnsi" w:cstheme="minorHAnsi"/>
          <w:sz w:val="22"/>
          <w:szCs w:val="22"/>
        </w:rPr>
      </w:pPr>
    </w:p>
    <w:p w14:paraId="5BDE750A" w14:textId="73CB9781" w:rsidR="00D541F8" w:rsidRPr="00430FCA" w:rsidRDefault="00D541F8" w:rsidP="00D541F8">
      <w:pPr>
        <w:pStyle w:val="Prrafodelista1"/>
        <w:ind w:left="567"/>
        <w:jc w:val="both"/>
        <w:rPr>
          <w:rFonts w:asciiTheme="minorHAnsi" w:hAnsiTheme="minorHAnsi" w:cstheme="minorHAnsi"/>
          <w:sz w:val="22"/>
          <w:szCs w:val="22"/>
        </w:rPr>
      </w:pPr>
      <w:r w:rsidRPr="00430FCA">
        <w:rPr>
          <w:rFonts w:asciiTheme="minorHAnsi" w:hAnsiTheme="minorHAnsi" w:cstheme="minorHAnsi"/>
          <w:sz w:val="22"/>
          <w:szCs w:val="22"/>
        </w:rPr>
        <w:t xml:space="preserve">“En los casos de arrendamiento o leasing deberá asimismo acompañarse el documento a que se refiere la letra </w:t>
      </w:r>
      <w:proofErr w:type="spellStart"/>
      <w:r w:rsidR="005A22B5">
        <w:rPr>
          <w:rFonts w:asciiTheme="minorHAnsi" w:hAnsiTheme="minorHAnsi" w:cstheme="minorHAnsi"/>
          <w:sz w:val="22"/>
          <w:szCs w:val="22"/>
        </w:rPr>
        <w:t>tt</w:t>
      </w:r>
      <w:proofErr w:type="spellEnd"/>
      <w:r w:rsidRPr="00430FCA">
        <w:rPr>
          <w:rFonts w:asciiTheme="minorHAnsi" w:hAnsiTheme="minorHAnsi" w:cstheme="minorHAnsi"/>
          <w:sz w:val="22"/>
          <w:szCs w:val="22"/>
        </w:rPr>
        <w:t xml:space="preserve"> del numeral 10.1 del presente Capítulo.”</w:t>
      </w:r>
    </w:p>
    <w:p w14:paraId="003CEE8F" w14:textId="77777777" w:rsidR="00D541F8" w:rsidRPr="00430FCA" w:rsidRDefault="00D541F8" w:rsidP="00D541F8">
      <w:pPr>
        <w:pStyle w:val="Prrafodelista1"/>
        <w:ind w:left="0"/>
        <w:jc w:val="both"/>
        <w:rPr>
          <w:rFonts w:asciiTheme="minorHAnsi" w:hAnsiTheme="minorHAnsi" w:cstheme="minorHAnsi"/>
          <w:sz w:val="22"/>
          <w:szCs w:val="22"/>
        </w:rPr>
      </w:pPr>
    </w:p>
    <w:p w14:paraId="3C9882F8" w14:textId="7778FCA6" w:rsidR="00D541F8" w:rsidRPr="00430FCA" w:rsidRDefault="00D541F8" w:rsidP="00D541F8">
      <w:pPr>
        <w:pStyle w:val="Prrafodelista1"/>
        <w:numPr>
          <w:ilvl w:val="0"/>
          <w:numId w:val="5"/>
        </w:numPr>
        <w:tabs>
          <w:tab w:val="num" w:pos="-1776"/>
          <w:tab w:val="left" w:pos="0"/>
        </w:tabs>
        <w:ind w:left="567" w:hanging="567"/>
        <w:jc w:val="both"/>
        <w:rPr>
          <w:rFonts w:asciiTheme="minorHAnsi" w:hAnsiTheme="minorHAnsi" w:cstheme="minorHAnsi"/>
          <w:b/>
          <w:sz w:val="22"/>
          <w:szCs w:val="22"/>
        </w:rPr>
      </w:pPr>
      <w:r w:rsidRPr="00430FCA">
        <w:rPr>
          <w:rFonts w:asciiTheme="minorHAnsi" w:hAnsiTheme="minorHAnsi" w:cstheme="minorHAnsi"/>
          <w:b/>
          <w:sz w:val="22"/>
          <w:szCs w:val="22"/>
        </w:rPr>
        <w:t xml:space="preserve">AGRÉGASE, al numeral 11.10 “Observaciones”, del apartado I (Declaración de Importación) del Anexo </w:t>
      </w:r>
      <w:r w:rsidR="00E24783" w:rsidRPr="00430FCA">
        <w:rPr>
          <w:rFonts w:asciiTheme="minorHAnsi" w:hAnsiTheme="minorHAnsi" w:cstheme="minorHAnsi"/>
          <w:b/>
          <w:sz w:val="22"/>
          <w:szCs w:val="22"/>
        </w:rPr>
        <w:t>N°</w:t>
      </w:r>
      <w:r w:rsidRPr="00430FCA">
        <w:rPr>
          <w:rFonts w:asciiTheme="minorHAnsi" w:hAnsiTheme="minorHAnsi" w:cstheme="minorHAnsi"/>
          <w:b/>
          <w:sz w:val="22"/>
          <w:szCs w:val="22"/>
        </w:rPr>
        <w:t>18, del Compendio de Normas Aduaneras, antes de la Nota 1, el siguiente nuevo párrafo final:</w:t>
      </w:r>
    </w:p>
    <w:p w14:paraId="41E54594" w14:textId="77777777" w:rsidR="00D541F8" w:rsidRPr="00430FCA" w:rsidRDefault="00D541F8" w:rsidP="00D541F8">
      <w:pPr>
        <w:pStyle w:val="Prrafodelista1"/>
        <w:jc w:val="both"/>
        <w:rPr>
          <w:rFonts w:asciiTheme="minorHAnsi" w:hAnsiTheme="minorHAnsi" w:cstheme="minorHAnsi"/>
          <w:sz w:val="22"/>
          <w:szCs w:val="22"/>
        </w:rPr>
      </w:pPr>
    </w:p>
    <w:p w14:paraId="13AB0CB2" w14:textId="3D515051" w:rsidR="00D541F8" w:rsidRPr="00430FCA" w:rsidRDefault="00D541F8" w:rsidP="00D541F8">
      <w:pPr>
        <w:pStyle w:val="Prrafodelista1"/>
        <w:ind w:left="567"/>
        <w:jc w:val="both"/>
        <w:rPr>
          <w:rFonts w:asciiTheme="minorHAnsi" w:hAnsiTheme="minorHAnsi" w:cstheme="minorHAnsi"/>
          <w:sz w:val="22"/>
          <w:szCs w:val="22"/>
        </w:rPr>
      </w:pPr>
      <w:r w:rsidRPr="00430FCA">
        <w:rPr>
          <w:rFonts w:asciiTheme="minorHAnsi" w:hAnsiTheme="minorHAnsi" w:cstheme="minorHAnsi"/>
          <w:sz w:val="22"/>
          <w:szCs w:val="22"/>
        </w:rPr>
        <w:t xml:space="preserve">“Tratándose de mercancías que ingresan en modalidad de arrendamiento o leasing, se deberá consignar el código </w:t>
      </w:r>
      <w:r w:rsidRPr="00430FCA">
        <w:rPr>
          <w:rFonts w:asciiTheme="minorHAnsi" w:hAnsiTheme="minorHAnsi" w:cstheme="minorHAnsi"/>
          <w:bCs/>
          <w:sz w:val="22"/>
          <w:szCs w:val="22"/>
        </w:rPr>
        <w:t>L</w:t>
      </w:r>
      <w:r w:rsidR="00DF0EF2">
        <w:rPr>
          <w:rFonts w:asciiTheme="minorHAnsi" w:hAnsiTheme="minorHAnsi" w:cstheme="minorHAnsi"/>
          <w:bCs/>
          <w:sz w:val="22"/>
          <w:szCs w:val="22"/>
        </w:rPr>
        <w:t>S</w:t>
      </w:r>
      <w:r w:rsidRPr="00430FCA">
        <w:rPr>
          <w:rFonts w:asciiTheme="minorHAnsi" w:hAnsiTheme="minorHAnsi" w:cstheme="minorHAnsi"/>
          <w:sz w:val="22"/>
          <w:szCs w:val="22"/>
        </w:rPr>
        <w:t>, y en el espacio contiguo, la frase “Arriendo/Leasing”.”</w:t>
      </w:r>
    </w:p>
    <w:p w14:paraId="2412B88C" w14:textId="77777777" w:rsidR="00D541F8" w:rsidRPr="00430FCA" w:rsidRDefault="00D541F8" w:rsidP="00D541F8">
      <w:pPr>
        <w:pStyle w:val="Prrafodelista1"/>
        <w:ind w:left="0"/>
        <w:jc w:val="both"/>
        <w:rPr>
          <w:rFonts w:asciiTheme="minorHAnsi" w:hAnsiTheme="minorHAnsi" w:cstheme="minorHAnsi"/>
          <w:sz w:val="22"/>
          <w:szCs w:val="22"/>
        </w:rPr>
      </w:pPr>
    </w:p>
    <w:p w14:paraId="7D3E88F4" w14:textId="3ABF4DE3" w:rsidR="00D541F8" w:rsidRPr="00430FCA" w:rsidRDefault="00D541F8" w:rsidP="00D541F8">
      <w:pPr>
        <w:pStyle w:val="Prrafodelista1"/>
        <w:numPr>
          <w:ilvl w:val="0"/>
          <w:numId w:val="5"/>
        </w:numPr>
        <w:tabs>
          <w:tab w:val="num" w:pos="-1776"/>
          <w:tab w:val="left" w:pos="0"/>
        </w:tabs>
        <w:ind w:left="567" w:hanging="567"/>
        <w:jc w:val="both"/>
        <w:rPr>
          <w:rFonts w:asciiTheme="minorHAnsi" w:hAnsiTheme="minorHAnsi" w:cstheme="minorHAnsi"/>
          <w:b/>
          <w:sz w:val="22"/>
          <w:szCs w:val="22"/>
        </w:rPr>
      </w:pPr>
      <w:r w:rsidRPr="00430FCA">
        <w:rPr>
          <w:rFonts w:asciiTheme="minorHAnsi" w:hAnsiTheme="minorHAnsi" w:cstheme="minorHAnsi"/>
          <w:b/>
          <w:sz w:val="22"/>
          <w:szCs w:val="22"/>
        </w:rPr>
        <w:t xml:space="preserve">AGRÉGASE, el nuevo Anexo </w:t>
      </w:r>
      <w:r w:rsidR="00E24783" w:rsidRPr="00430FCA">
        <w:rPr>
          <w:rFonts w:asciiTheme="minorHAnsi" w:hAnsiTheme="minorHAnsi" w:cstheme="minorHAnsi"/>
          <w:b/>
          <w:sz w:val="22"/>
          <w:szCs w:val="22"/>
        </w:rPr>
        <w:t>N°</w:t>
      </w:r>
      <w:r w:rsidRPr="00430FCA">
        <w:rPr>
          <w:rFonts w:asciiTheme="minorHAnsi" w:hAnsiTheme="minorHAnsi" w:cstheme="minorHAnsi"/>
          <w:b/>
          <w:sz w:val="22"/>
          <w:szCs w:val="22"/>
        </w:rPr>
        <w:t>9</w:t>
      </w:r>
      <w:r w:rsidRPr="00430FCA">
        <w:rPr>
          <w:rFonts w:asciiTheme="minorHAnsi" w:hAnsiTheme="minorHAnsi" w:cstheme="minorHAnsi"/>
          <w:b/>
          <w:sz w:val="22"/>
          <w:szCs w:val="22"/>
        </w:rPr>
        <w:t>8</w:t>
      </w:r>
      <w:r w:rsidRPr="00430FCA">
        <w:rPr>
          <w:rFonts w:asciiTheme="minorHAnsi" w:hAnsiTheme="minorHAnsi" w:cstheme="minorHAnsi"/>
          <w:b/>
          <w:sz w:val="22"/>
          <w:szCs w:val="22"/>
        </w:rPr>
        <w:t xml:space="preserve"> </w:t>
      </w:r>
      <w:r w:rsidRPr="00430FCA">
        <w:rPr>
          <w:rFonts w:asciiTheme="minorHAnsi" w:hAnsiTheme="minorHAnsi" w:cstheme="minorHAnsi"/>
          <w:b/>
          <w:sz w:val="22"/>
          <w:szCs w:val="22"/>
        </w:rPr>
        <w:t>“Declaración Jurada para mercancía en arrendamiento o leasing”, al Compendio de Normas Aduaneras, conforme al texto adjunto a la presente resolución, que forma parte integrante de la misma.</w:t>
      </w:r>
    </w:p>
    <w:p w14:paraId="6318FE63" w14:textId="77777777" w:rsidR="00D541F8" w:rsidRPr="00430FCA" w:rsidRDefault="00D541F8" w:rsidP="00D541F8">
      <w:pPr>
        <w:pStyle w:val="Prrafodelista1"/>
        <w:ind w:left="0"/>
        <w:jc w:val="both"/>
        <w:rPr>
          <w:rFonts w:asciiTheme="minorHAnsi" w:hAnsiTheme="minorHAnsi" w:cstheme="minorHAnsi"/>
          <w:bCs/>
          <w:sz w:val="22"/>
          <w:szCs w:val="22"/>
        </w:rPr>
      </w:pPr>
    </w:p>
    <w:p w14:paraId="50E3FEA5" w14:textId="77777777" w:rsidR="00D541F8" w:rsidRPr="00430FCA" w:rsidRDefault="00D541F8" w:rsidP="00D541F8">
      <w:pPr>
        <w:pStyle w:val="Prrafodelista1"/>
        <w:numPr>
          <w:ilvl w:val="0"/>
          <w:numId w:val="5"/>
        </w:numPr>
        <w:tabs>
          <w:tab w:val="num" w:pos="-1776"/>
          <w:tab w:val="left" w:pos="0"/>
        </w:tabs>
        <w:ind w:left="567" w:hanging="567"/>
        <w:jc w:val="both"/>
        <w:rPr>
          <w:rFonts w:asciiTheme="minorHAnsi" w:hAnsiTheme="minorHAnsi" w:cstheme="minorHAnsi"/>
          <w:bCs/>
          <w:sz w:val="22"/>
          <w:szCs w:val="22"/>
        </w:rPr>
      </w:pPr>
      <w:r w:rsidRPr="00430FCA">
        <w:rPr>
          <w:rFonts w:asciiTheme="minorHAnsi" w:hAnsiTheme="minorHAnsi" w:cstheme="minorHAnsi"/>
          <w:bCs/>
          <w:sz w:val="22"/>
          <w:szCs w:val="22"/>
        </w:rPr>
        <w:t xml:space="preserve">Como consecuencia de lo indicado en los numerales anteriores, </w:t>
      </w:r>
      <w:proofErr w:type="spellStart"/>
      <w:r w:rsidRPr="00430FCA">
        <w:rPr>
          <w:rFonts w:asciiTheme="minorHAnsi" w:hAnsiTheme="minorHAnsi" w:cstheme="minorHAnsi"/>
          <w:bCs/>
          <w:sz w:val="22"/>
          <w:szCs w:val="22"/>
        </w:rPr>
        <w:t>reemplázanse</w:t>
      </w:r>
      <w:proofErr w:type="spellEnd"/>
      <w:r w:rsidRPr="00430FCA">
        <w:rPr>
          <w:rFonts w:asciiTheme="minorHAnsi" w:hAnsiTheme="minorHAnsi" w:cstheme="minorHAnsi"/>
          <w:bCs/>
          <w:sz w:val="22"/>
          <w:szCs w:val="22"/>
        </w:rPr>
        <w:t xml:space="preserve"> las hojas pertinentes en el Compendio de Normas Aduaneras. </w:t>
      </w:r>
    </w:p>
    <w:p w14:paraId="55ACE23F" w14:textId="77777777" w:rsidR="00D541F8" w:rsidRPr="00430FCA" w:rsidRDefault="00D541F8" w:rsidP="00D541F8">
      <w:pPr>
        <w:pStyle w:val="Prrafodelista1"/>
        <w:tabs>
          <w:tab w:val="left" w:pos="0"/>
        </w:tabs>
        <w:ind w:left="567"/>
        <w:jc w:val="both"/>
        <w:rPr>
          <w:rFonts w:asciiTheme="minorHAnsi" w:hAnsiTheme="minorHAnsi" w:cstheme="minorHAnsi"/>
          <w:b/>
          <w:sz w:val="22"/>
          <w:szCs w:val="22"/>
        </w:rPr>
      </w:pPr>
    </w:p>
    <w:p w14:paraId="647070B6" w14:textId="77777777" w:rsidR="00D541F8" w:rsidRPr="00430FCA" w:rsidRDefault="00D541F8" w:rsidP="00D541F8">
      <w:pPr>
        <w:pStyle w:val="Prrafodelista1"/>
        <w:numPr>
          <w:ilvl w:val="0"/>
          <w:numId w:val="5"/>
        </w:numPr>
        <w:tabs>
          <w:tab w:val="num" w:pos="-1776"/>
          <w:tab w:val="left" w:pos="0"/>
        </w:tabs>
        <w:ind w:left="567" w:hanging="567"/>
        <w:jc w:val="both"/>
        <w:rPr>
          <w:rFonts w:asciiTheme="minorHAnsi" w:hAnsiTheme="minorHAnsi" w:cstheme="minorHAnsi"/>
          <w:b/>
          <w:sz w:val="22"/>
          <w:szCs w:val="22"/>
        </w:rPr>
      </w:pPr>
      <w:proofErr w:type="spellStart"/>
      <w:r w:rsidRPr="00430FCA">
        <w:rPr>
          <w:rFonts w:asciiTheme="minorHAnsi" w:hAnsiTheme="minorHAnsi" w:cstheme="minorHAnsi"/>
          <w:sz w:val="22"/>
          <w:szCs w:val="22"/>
        </w:rPr>
        <w:t>Déjase</w:t>
      </w:r>
      <w:proofErr w:type="spellEnd"/>
      <w:r w:rsidRPr="00430FCA">
        <w:rPr>
          <w:rFonts w:asciiTheme="minorHAnsi" w:hAnsiTheme="minorHAnsi" w:cstheme="minorHAnsi"/>
          <w:sz w:val="22"/>
          <w:szCs w:val="22"/>
        </w:rPr>
        <w:t xml:space="preserve"> sin efecto, cualquier otra instrucción sobre la materia emanada con anterioridad a la entrada en vigor de la presente resolución.</w:t>
      </w:r>
    </w:p>
    <w:p w14:paraId="48A0F08D" w14:textId="77777777" w:rsidR="00D541F8" w:rsidRPr="00430FCA" w:rsidRDefault="00D541F8" w:rsidP="00D541F8">
      <w:pPr>
        <w:pStyle w:val="Prrafodelista"/>
        <w:rPr>
          <w:rFonts w:cstheme="minorHAnsi"/>
          <w:sz w:val="22"/>
          <w:szCs w:val="22"/>
        </w:rPr>
      </w:pPr>
    </w:p>
    <w:p w14:paraId="6139236B" w14:textId="77777777" w:rsidR="00D541F8" w:rsidRPr="00430FCA" w:rsidRDefault="00D541F8" w:rsidP="00D541F8">
      <w:pPr>
        <w:pStyle w:val="Prrafodelista1"/>
        <w:numPr>
          <w:ilvl w:val="0"/>
          <w:numId w:val="5"/>
        </w:numPr>
        <w:tabs>
          <w:tab w:val="num" w:pos="-1776"/>
          <w:tab w:val="left" w:pos="0"/>
        </w:tabs>
        <w:ind w:left="567" w:hanging="567"/>
        <w:jc w:val="both"/>
        <w:rPr>
          <w:rFonts w:asciiTheme="minorHAnsi" w:hAnsiTheme="minorHAnsi" w:cstheme="minorHAnsi"/>
          <w:b/>
          <w:sz w:val="22"/>
          <w:szCs w:val="22"/>
        </w:rPr>
      </w:pPr>
      <w:r w:rsidRPr="00430FCA">
        <w:rPr>
          <w:rFonts w:asciiTheme="minorHAnsi" w:hAnsiTheme="minorHAnsi" w:cstheme="minorHAnsi"/>
          <w:sz w:val="22"/>
          <w:szCs w:val="22"/>
        </w:rPr>
        <w:t>La presente resolución entrará en vigor a partir de 20 días hábiles desde la fecha de su publicación en extracto en el Diario Oficial.</w:t>
      </w:r>
    </w:p>
    <w:p w14:paraId="6810A3AC" w14:textId="77777777" w:rsidR="00D541F8" w:rsidRPr="00430FCA" w:rsidRDefault="00D541F8" w:rsidP="00D541F8">
      <w:pPr>
        <w:pStyle w:val="Prrafodelista"/>
        <w:rPr>
          <w:rFonts w:cstheme="minorHAnsi"/>
          <w:bCs/>
          <w:sz w:val="22"/>
          <w:szCs w:val="22"/>
        </w:rPr>
      </w:pPr>
    </w:p>
    <w:p w14:paraId="6163FB96" w14:textId="77777777" w:rsidR="00D541F8" w:rsidRPr="00430FCA" w:rsidRDefault="00D541F8" w:rsidP="00D541F8">
      <w:pPr>
        <w:pStyle w:val="Prrafodelista1"/>
        <w:numPr>
          <w:ilvl w:val="0"/>
          <w:numId w:val="5"/>
        </w:numPr>
        <w:tabs>
          <w:tab w:val="num" w:pos="-1776"/>
          <w:tab w:val="left" w:pos="0"/>
        </w:tabs>
        <w:ind w:left="567" w:hanging="567"/>
        <w:jc w:val="both"/>
        <w:rPr>
          <w:rFonts w:asciiTheme="minorHAnsi" w:hAnsiTheme="minorHAnsi" w:cstheme="minorHAnsi"/>
          <w:bCs/>
          <w:sz w:val="22"/>
          <w:szCs w:val="22"/>
        </w:rPr>
      </w:pPr>
      <w:r w:rsidRPr="00430FCA">
        <w:rPr>
          <w:rFonts w:asciiTheme="minorHAnsi" w:hAnsiTheme="minorHAnsi" w:cstheme="minorHAnsi"/>
          <w:bCs/>
          <w:sz w:val="22"/>
          <w:szCs w:val="22"/>
        </w:rPr>
        <w:t xml:space="preserve">En caso de las solicitudes de prórroga que se tramiten a partir de la entrada en </w:t>
      </w:r>
      <w:r w:rsidRPr="00430FCA">
        <w:rPr>
          <w:rFonts w:asciiTheme="minorHAnsi" w:hAnsiTheme="minorHAnsi" w:cstheme="minorHAnsi"/>
          <w:bCs/>
          <w:sz w:val="22"/>
          <w:szCs w:val="22"/>
        </w:rPr>
        <w:t>vig</w:t>
      </w:r>
      <w:r w:rsidRPr="00430FCA">
        <w:rPr>
          <w:rFonts w:asciiTheme="minorHAnsi" w:hAnsiTheme="minorHAnsi" w:cstheme="minorHAnsi"/>
          <w:bCs/>
          <w:sz w:val="22"/>
          <w:szCs w:val="22"/>
        </w:rPr>
        <w:t>or</w:t>
      </w:r>
      <w:r w:rsidRPr="00430FCA">
        <w:rPr>
          <w:rFonts w:asciiTheme="minorHAnsi" w:hAnsiTheme="minorHAnsi" w:cstheme="minorHAnsi"/>
          <w:bCs/>
          <w:sz w:val="22"/>
          <w:szCs w:val="22"/>
        </w:rPr>
        <w:t xml:space="preserve"> </w:t>
      </w:r>
      <w:r w:rsidRPr="00430FCA">
        <w:rPr>
          <w:rFonts w:asciiTheme="minorHAnsi" w:hAnsiTheme="minorHAnsi" w:cstheme="minorHAnsi"/>
          <w:bCs/>
          <w:sz w:val="22"/>
          <w:szCs w:val="22"/>
        </w:rPr>
        <w:t>de la presente resolución, respecto de admisiones temporales aceptadas a trámite con anterioridad, resultará aplicable lo dispuesto en el párrafo tercero del numeral 11.1 del Capítulo II del Compendio de Normas Aduaneras, modificado por la presente resolución.</w:t>
      </w:r>
    </w:p>
    <w:p w14:paraId="53B79E3B" w14:textId="77777777" w:rsidR="00D541F8" w:rsidRPr="00430FCA" w:rsidRDefault="00D541F8" w:rsidP="00D541F8">
      <w:pPr>
        <w:jc w:val="both"/>
        <w:rPr>
          <w:rFonts w:cstheme="minorHAnsi"/>
          <w:sz w:val="22"/>
          <w:szCs w:val="22"/>
          <w:lang w:val="es-ES"/>
        </w:rPr>
      </w:pPr>
    </w:p>
    <w:p w14:paraId="5709EA5C" w14:textId="77777777" w:rsidR="00D541F8" w:rsidRPr="00430FCA" w:rsidRDefault="00D541F8" w:rsidP="00D541F8">
      <w:pPr>
        <w:jc w:val="both"/>
        <w:rPr>
          <w:rFonts w:cstheme="minorHAnsi"/>
          <w:b/>
          <w:sz w:val="22"/>
          <w:szCs w:val="22"/>
        </w:rPr>
      </w:pPr>
      <w:r w:rsidRPr="00430FCA">
        <w:rPr>
          <w:rFonts w:cstheme="minorHAnsi"/>
          <w:b/>
          <w:sz w:val="22"/>
          <w:szCs w:val="22"/>
        </w:rPr>
        <w:t xml:space="preserve">ANÓTESE, COMUNÍQUESE Y PUBLÍQUESE EN EXTRACTO EN EL DIARIO OFICIAL E ÍNTEGRAMENTE EN LA PÁGINA WEB DEL SERVICIO. </w:t>
      </w:r>
    </w:p>
    <w:p w14:paraId="3270AD0E" w14:textId="77777777" w:rsidR="00D541F8" w:rsidRPr="00430FCA" w:rsidRDefault="00D541F8" w:rsidP="00D541F8">
      <w:pPr>
        <w:rPr>
          <w:rFonts w:cstheme="minorHAnsi"/>
          <w:b/>
          <w:sz w:val="22"/>
          <w:szCs w:val="22"/>
        </w:rPr>
      </w:pPr>
    </w:p>
    <w:p w14:paraId="27ABBF90" w14:textId="77777777" w:rsidR="00D541F8" w:rsidRPr="00430FCA" w:rsidRDefault="00D541F8" w:rsidP="00D541F8">
      <w:pPr>
        <w:rPr>
          <w:rFonts w:cstheme="minorHAnsi"/>
          <w:b/>
          <w:sz w:val="22"/>
          <w:szCs w:val="22"/>
        </w:rPr>
      </w:pPr>
    </w:p>
    <w:p w14:paraId="5A7C6D1E" w14:textId="77777777" w:rsidR="00D541F8" w:rsidRPr="00430FCA" w:rsidRDefault="00D541F8" w:rsidP="00D541F8">
      <w:pPr>
        <w:rPr>
          <w:rFonts w:cstheme="minorHAnsi"/>
          <w:sz w:val="22"/>
          <w:szCs w:val="22"/>
        </w:rPr>
      </w:pPr>
    </w:p>
    <w:p w14:paraId="7272F81B" w14:textId="77777777" w:rsidR="00D541F8" w:rsidRPr="00430FCA" w:rsidRDefault="00D541F8" w:rsidP="00D541F8">
      <w:pPr>
        <w:rPr>
          <w:rFonts w:cstheme="minorHAnsi"/>
          <w:sz w:val="22"/>
          <w:szCs w:val="22"/>
        </w:rPr>
      </w:pPr>
    </w:p>
    <w:p w14:paraId="3FA50657" w14:textId="77777777" w:rsidR="00D541F8" w:rsidRPr="00430FCA" w:rsidRDefault="00D541F8" w:rsidP="00D541F8">
      <w:pPr>
        <w:widowControl w:val="0"/>
        <w:autoSpaceDE w:val="0"/>
        <w:autoSpaceDN w:val="0"/>
        <w:adjustRightInd w:val="0"/>
        <w:jc w:val="both"/>
        <w:rPr>
          <w:rFonts w:cstheme="minorHAnsi"/>
          <w:sz w:val="22"/>
          <w:szCs w:val="22"/>
        </w:rPr>
      </w:pPr>
    </w:p>
    <w:p w14:paraId="38F10C0D" w14:textId="77777777" w:rsidR="00D541F8" w:rsidRPr="00430FCA" w:rsidRDefault="00D541F8" w:rsidP="00D541F8">
      <w:pPr>
        <w:widowControl w:val="0"/>
        <w:autoSpaceDE w:val="0"/>
        <w:autoSpaceDN w:val="0"/>
        <w:adjustRightInd w:val="0"/>
        <w:jc w:val="both"/>
        <w:rPr>
          <w:rFonts w:cstheme="minorHAnsi"/>
          <w:sz w:val="22"/>
          <w:szCs w:val="22"/>
        </w:rPr>
      </w:pPr>
    </w:p>
    <w:p w14:paraId="04EFAB1A" w14:textId="012CC2A6" w:rsidR="0024255F" w:rsidRPr="00430FCA" w:rsidRDefault="0024255F" w:rsidP="00D541F8">
      <w:pPr>
        <w:rPr>
          <w:rFonts w:cstheme="minorHAnsi"/>
          <w:sz w:val="22"/>
          <w:szCs w:val="22"/>
        </w:rPr>
      </w:pPr>
    </w:p>
    <w:sectPr w:rsidR="0024255F" w:rsidRPr="00430FCA" w:rsidSect="00B10852">
      <w:headerReference w:type="even" r:id="rId7"/>
      <w:headerReference w:type="default" r:id="rId8"/>
      <w:footerReference w:type="even" r:id="rId9"/>
      <w:footerReference w:type="default" r:id="rId10"/>
      <w:headerReference w:type="first" r:id="rId11"/>
      <w:footerReference w:type="first" r:id="rId12"/>
      <w:pgSz w:w="12240" w:h="20160" w:code="41"/>
      <w:pgMar w:top="1418" w:right="1701" w:bottom="1418" w:left="1701" w:header="278" w:footer="11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F8A5DF" w14:textId="77777777" w:rsidR="003D5366" w:rsidRDefault="003D5366" w:rsidP="009C340E">
      <w:r>
        <w:separator/>
      </w:r>
    </w:p>
  </w:endnote>
  <w:endnote w:type="continuationSeparator" w:id="0">
    <w:p w14:paraId="693C2A9D" w14:textId="77777777" w:rsidR="003D5366" w:rsidRDefault="003D5366" w:rsidP="009C34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gobCL">
    <w:altName w:val="Times New Roman"/>
    <w:charset w:val="00"/>
    <w:family w:val="auto"/>
    <w:pitch w:val="variable"/>
    <w:sig w:usb0="00000001" w:usb1="4000005B" w:usb2="00000000" w:usb3="00000000" w:csb0="0000011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F488C1" w14:textId="77777777" w:rsidR="00436134" w:rsidRDefault="0043613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91AEDD" w14:textId="77777777" w:rsidR="00F91938" w:rsidRDefault="00F91938" w:rsidP="00287A9E">
    <w:pPr>
      <w:pStyle w:val="Piedepgina"/>
      <w:ind w:left="-993"/>
    </w:pPr>
  </w:p>
  <w:p w14:paraId="62BD26B2" w14:textId="77777777" w:rsidR="00F91938" w:rsidRDefault="00F91938" w:rsidP="00287A9E">
    <w:pPr>
      <w:pStyle w:val="Piedepgina"/>
      <w:ind w:left="-993"/>
    </w:pPr>
  </w:p>
  <w:p w14:paraId="54C54546" w14:textId="78EE22E2" w:rsidR="00551B00" w:rsidRDefault="00F91938" w:rsidP="00287A9E">
    <w:pPr>
      <w:pStyle w:val="Piedepgina"/>
      <w:ind w:left="-993"/>
    </w:pPr>
    <w:r>
      <w:rPr>
        <w:noProof/>
        <w:lang w:val="es-CL" w:eastAsia="es-CL"/>
      </w:rPr>
      <mc:AlternateContent>
        <mc:Choice Requires="wps">
          <w:drawing>
            <wp:anchor distT="0" distB="0" distL="114300" distR="114300" simplePos="0" relativeHeight="251656704" behindDoc="0" locked="0" layoutInCell="1" allowOverlap="1" wp14:anchorId="6293C212" wp14:editId="41307EEE">
              <wp:simplePos x="0" y="0"/>
              <wp:positionH relativeFrom="margin">
                <wp:posOffset>-657225</wp:posOffset>
              </wp:positionH>
              <wp:positionV relativeFrom="paragraph">
                <wp:posOffset>-358775</wp:posOffset>
              </wp:positionV>
              <wp:extent cx="1447800" cy="686435"/>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1447800" cy="6864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A5A1D93" w14:textId="0CA0FB5C" w:rsidR="00EE10A5" w:rsidRDefault="00D657C3" w:rsidP="00EE10A5">
                          <w:pPr>
                            <w:spacing w:line="180" w:lineRule="exact"/>
                            <w:rPr>
                              <w:rFonts w:ascii="Tahoma" w:eastAsia="Times New Roman" w:hAnsi="Tahoma" w:cs="Tahoma"/>
                              <w:color w:val="262626" w:themeColor="text1" w:themeTint="D9"/>
                              <w:sz w:val="13"/>
                              <w:szCs w:val="15"/>
                              <w:shd w:val="clear" w:color="auto" w:fill="FFFFFF"/>
                              <w:lang w:eastAsia="es-ES_tradnl"/>
                            </w:rPr>
                          </w:pPr>
                          <w:r>
                            <w:rPr>
                              <w:rFonts w:ascii="Tahoma" w:eastAsia="Times New Roman" w:hAnsi="Tahoma" w:cs="Tahoma"/>
                              <w:color w:val="262626" w:themeColor="text1" w:themeTint="D9"/>
                              <w:sz w:val="13"/>
                              <w:szCs w:val="15"/>
                              <w:shd w:val="clear" w:color="auto" w:fill="FFFFFF"/>
                              <w:lang w:eastAsia="es-ES_tradnl"/>
                            </w:rPr>
                            <w:t>Sotomayor</w:t>
                          </w:r>
                          <w:r w:rsidR="00EE10A5">
                            <w:rPr>
                              <w:rFonts w:ascii="Tahoma" w:eastAsia="Times New Roman" w:hAnsi="Tahoma" w:cs="Tahoma"/>
                              <w:color w:val="262626" w:themeColor="text1" w:themeTint="D9"/>
                              <w:sz w:val="13"/>
                              <w:szCs w:val="15"/>
                              <w:shd w:val="clear" w:color="auto" w:fill="FFFFFF"/>
                              <w:lang w:eastAsia="es-ES_tradnl"/>
                            </w:rPr>
                            <w:t xml:space="preserve"> Nº</w:t>
                          </w:r>
                          <w:r>
                            <w:rPr>
                              <w:rFonts w:ascii="Tahoma" w:eastAsia="Times New Roman" w:hAnsi="Tahoma" w:cs="Tahoma"/>
                              <w:color w:val="262626" w:themeColor="text1" w:themeTint="D9"/>
                              <w:sz w:val="13"/>
                              <w:szCs w:val="15"/>
                              <w:shd w:val="clear" w:color="auto" w:fill="FFFFFF"/>
                              <w:lang w:eastAsia="es-ES_tradnl"/>
                            </w:rPr>
                            <w:t>60</w:t>
                          </w:r>
                        </w:p>
                        <w:p w14:paraId="572118ED" w14:textId="77777777" w:rsidR="002453EB" w:rsidRPr="0009237D" w:rsidRDefault="002453EB" w:rsidP="002453EB">
                          <w:pPr>
                            <w:spacing w:line="180" w:lineRule="exact"/>
                            <w:rPr>
                              <w:rFonts w:ascii="Tahoma" w:eastAsia="Times New Roman" w:hAnsi="Tahoma" w:cs="Tahoma"/>
                              <w:color w:val="262626" w:themeColor="text1" w:themeTint="D9"/>
                              <w:sz w:val="13"/>
                              <w:szCs w:val="15"/>
                              <w:shd w:val="clear" w:color="auto" w:fill="FFFFFF"/>
                              <w:lang w:val="es-CL" w:eastAsia="es-ES_tradnl"/>
                            </w:rPr>
                          </w:pPr>
                          <w:r w:rsidRPr="0009237D">
                            <w:rPr>
                              <w:rFonts w:ascii="Tahoma" w:eastAsia="Times New Roman" w:hAnsi="Tahoma" w:cs="Tahoma"/>
                              <w:color w:val="262626" w:themeColor="text1" w:themeTint="D9"/>
                              <w:sz w:val="13"/>
                              <w:szCs w:val="15"/>
                              <w:shd w:val="clear" w:color="auto" w:fill="FFFFFF"/>
                              <w:lang w:val="es-CL" w:eastAsia="es-ES_tradnl"/>
                            </w:rPr>
                            <w:t xml:space="preserve">Valparaíso </w:t>
                          </w:r>
                        </w:p>
                        <w:p w14:paraId="695E48B1" w14:textId="6C6B96E5" w:rsidR="002453EB" w:rsidRPr="0009237D" w:rsidRDefault="00B11BA4" w:rsidP="002453EB">
                          <w:pPr>
                            <w:spacing w:line="180" w:lineRule="exact"/>
                            <w:rPr>
                              <w:rFonts w:ascii="Tahoma" w:hAnsi="Tahoma" w:cs="Tahoma"/>
                              <w:color w:val="262626" w:themeColor="text1" w:themeTint="D9"/>
                              <w:sz w:val="13"/>
                              <w:szCs w:val="15"/>
                              <w:lang w:val="es-CL"/>
                            </w:rPr>
                          </w:pPr>
                          <w:r w:rsidRPr="0019094B">
                            <w:rPr>
                              <w:rFonts w:ascii="Tahoma" w:hAnsi="Tahoma" w:cs="Tahoma"/>
                              <w:color w:val="262626" w:themeColor="text1" w:themeTint="D9"/>
                              <w:sz w:val="13"/>
                              <w:szCs w:val="15"/>
                            </w:rPr>
                            <w:t xml:space="preserve">+56 </w:t>
                          </w:r>
                          <w:r>
                            <w:rPr>
                              <w:rFonts w:ascii="Tahoma" w:hAnsi="Tahoma" w:cs="Tahoma"/>
                              <w:color w:val="262626" w:themeColor="text1" w:themeTint="D9"/>
                              <w:sz w:val="13"/>
                              <w:szCs w:val="15"/>
                            </w:rPr>
                            <w:t>32213454</w:t>
                          </w:r>
                          <w:r w:rsidR="00D657C3">
                            <w:rPr>
                              <w:rFonts w:ascii="Tahoma" w:hAnsi="Tahoma" w:cs="Tahoma"/>
                              <w:color w:val="262626" w:themeColor="text1" w:themeTint="D9"/>
                              <w:sz w:val="13"/>
                              <w:szCs w:val="15"/>
                            </w:rPr>
                            <w:t>3</w:t>
                          </w:r>
                        </w:p>
                        <w:p w14:paraId="70809223" w14:textId="6117AF53" w:rsidR="00551B00" w:rsidRPr="00BC3C1F" w:rsidRDefault="00551B00" w:rsidP="002453EB">
                          <w:pPr>
                            <w:spacing w:line="180" w:lineRule="exact"/>
                            <w:rPr>
                              <w:rFonts w:ascii="Tahoma" w:hAnsi="Tahoma" w:cs="Tahoma"/>
                              <w:color w:val="262626" w:themeColor="text1" w:themeTint="D9"/>
                              <w:sz w:val="13"/>
                              <w:szCs w:val="15"/>
                              <w:lang w:val="es-CL"/>
                            </w:rPr>
                          </w:pPr>
                          <w:r w:rsidRPr="00D40B72">
                            <w:rPr>
                              <w:rFonts w:ascii="Tahoma" w:hAnsi="Tahoma" w:cs="Tahoma"/>
                              <w:color w:val="262626" w:themeColor="text1" w:themeTint="D9"/>
                              <w:sz w:val="15"/>
                              <w:szCs w:val="15"/>
                              <w:lang w:val="es-ES"/>
                            </w:rPr>
                            <w:t>www.aduana.cl</w:t>
                          </w:r>
                        </w:p>
                        <w:p w14:paraId="0ECEB731" w14:textId="19CB8464" w:rsidR="00551B00" w:rsidRPr="000727D8" w:rsidRDefault="00551B00" w:rsidP="00287A9E">
                          <w:pPr>
                            <w:ind w:left="1134" w:right="-7229"/>
                            <w:rPr>
                              <w:rFonts w:ascii="gobCL" w:hAnsi="gobCL" w:cs="Tahoma"/>
                              <w:b/>
                              <w:color w:val="7F7F7F" w:themeColor="text1" w:themeTint="80"/>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93C212" id="_x0000_t202" coordsize="21600,21600" o:spt="202" path="m,l,21600r21600,l21600,xe">
              <v:stroke joinstyle="miter"/>
              <v:path gradientshapeok="t" o:connecttype="rect"/>
            </v:shapetype>
            <v:shape id="Cuadro de texto 11" o:spid="_x0000_s1029" type="#_x0000_t202" style="position:absolute;left:0;text-align:left;margin-left:-51.75pt;margin-top:-28.25pt;width:114pt;height:54.0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" filled="f" stroked="f">
              <v:textbox>
                <w:txbxContent>
                  <w:p w14:paraId="3A5A1D93" w14:textId="0CA0FB5C" w:rsidR="00EE10A5" w:rsidRDefault="00D657C3" w:rsidP="00EE10A5">
                    <w:pPr>
                      <w:spacing w:line="180" w:lineRule="exact"/>
                      <w:rPr>
                        <w:rFonts w:ascii="Tahoma" w:eastAsia="Times New Roman" w:hAnsi="Tahoma" w:cs="Tahoma"/>
                        <w:color w:val="262626" w:themeColor="text1" w:themeTint="D9"/>
                        <w:sz w:val="13"/>
                        <w:szCs w:val="15"/>
                        <w:shd w:val="clear" w:color="auto" w:fill="FFFFFF"/>
                        <w:lang w:eastAsia="es-ES_tradnl"/>
                      </w:rPr>
                    </w:pPr>
                    <w:r>
                      <w:rPr>
                        <w:rFonts w:ascii="Tahoma" w:eastAsia="Times New Roman" w:hAnsi="Tahoma" w:cs="Tahoma"/>
                        <w:color w:val="262626" w:themeColor="text1" w:themeTint="D9"/>
                        <w:sz w:val="13"/>
                        <w:szCs w:val="15"/>
                        <w:shd w:val="clear" w:color="auto" w:fill="FFFFFF"/>
                        <w:lang w:eastAsia="es-ES_tradnl"/>
                      </w:rPr>
                      <w:t>Sotomayor</w:t>
                    </w:r>
                    <w:r w:rsidR="00EE10A5">
                      <w:rPr>
                        <w:rFonts w:ascii="Tahoma" w:eastAsia="Times New Roman" w:hAnsi="Tahoma" w:cs="Tahoma"/>
                        <w:color w:val="262626" w:themeColor="text1" w:themeTint="D9"/>
                        <w:sz w:val="13"/>
                        <w:szCs w:val="15"/>
                        <w:shd w:val="clear" w:color="auto" w:fill="FFFFFF"/>
                        <w:lang w:eastAsia="es-ES_tradnl"/>
                      </w:rPr>
                      <w:t xml:space="preserve"> Nº</w:t>
                    </w:r>
                    <w:r>
                      <w:rPr>
                        <w:rFonts w:ascii="Tahoma" w:eastAsia="Times New Roman" w:hAnsi="Tahoma" w:cs="Tahoma"/>
                        <w:color w:val="262626" w:themeColor="text1" w:themeTint="D9"/>
                        <w:sz w:val="13"/>
                        <w:szCs w:val="15"/>
                        <w:shd w:val="clear" w:color="auto" w:fill="FFFFFF"/>
                        <w:lang w:eastAsia="es-ES_tradnl"/>
                      </w:rPr>
                      <w:t>60</w:t>
                    </w:r>
                  </w:p>
                  <w:p w14:paraId="572118ED" w14:textId="77777777" w:rsidR="002453EB" w:rsidRPr="0009237D" w:rsidRDefault="002453EB" w:rsidP="002453EB">
                    <w:pPr>
                      <w:spacing w:line="180" w:lineRule="exact"/>
                      <w:rPr>
                        <w:rFonts w:ascii="Tahoma" w:eastAsia="Times New Roman" w:hAnsi="Tahoma" w:cs="Tahoma"/>
                        <w:color w:val="262626" w:themeColor="text1" w:themeTint="D9"/>
                        <w:sz w:val="13"/>
                        <w:szCs w:val="15"/>
                        <w:shd w:val="clear" w:color="auto" w:fill="FFFFFF"/>
                        <w:lang w:val="es-CL" w:eastAsia="es-ES_tradnl"/>
                      </w:rPr>
                    </w:pPr>
                    <w:r w:rsidRPr="0009237D">
                      <w:rPr>
                        <w:rFonts w:ascii="Tahoma" w:eastAsia="Times New Roman" w:hAnsi="Tahoma" w:cs="Tahoma"/>
                        <w:color w:val="262626" w:themeColor="text1" w:themeTint="D9"/>
                        <w:sz w:val="13"/>
                        <w:szCs w:val="15"/>
                        <w:shd w:val="clear" w:color="auto" w:fill="FFFFFF"/>
                        <w:lang w:val="es-CL" w:eastAsia="es-ES_tradnl"/>
                      </w:rPr>
                      <w:t xml:space="preserve">Valparaíso </w:t>
                    </w:r>
                  </w:p>
                  <w:p w14:paraId="695E48B1" w14:textId="6C6B96E5" w:rsidR="002453EB" w:rsidRPr="0009237D" w:rsidRDefault="00B11BA4" w:rsidP="002453EB">
                    <w:pPr>
                      <w:spacing w:line="180" w:lineRule="exact"/>
                      <w:rPr>
                        <w:rFonts w:ascii="Tahoma" w:hAnsi="Tahoma" w:cs="Tahoma"/>
                        <w:color w:val="262626" w:themeColor="text1" w:themeTint="D9"/>
                        <w:sz w:val="13"/>
                        <w:szCs w:val="15"/>
                        <w:lang w:val="es-CL"/>
                      </w:rPr>
                    </w:pPr>
                    <w:r w:rsidRPr="0019094B">
                      <w:rPr>
                        <w:rFonts w:ascii="Tahoma" w:hAnsi="Tahoma" w:cs="Tahoma"/>
                        <w:color w:val="262626" w:themeColor="text1" w:themeTint="D9"/>
                        <w:sz w:val="13"/>
                        <w:szCs w:val="15"/>
                      </w:rPr>
                      <w:t xml:space="preserve">+56 </w:t>
                    </w:r>
                    <w:r>
                      <w:rPr>
                        <w:rFonts w:ascii="Tahoma" w:hAnsi="Tahoma" w:cs="Tahoma"/>
                        <w:color w:val="262626" w:themeColor="text1" w:themeTint="D9"/>
                        <w:sz w:val="13"/>
                        <w:szCs w:val="15"/>
                      </w:rPr>
                      <w:t>32213454</w:t>
                    </w:r>
                    <w:r w:rsidR="00D657C3">
                      <w:rPr>
                        <w:rFonts w:ascii="Tahoma" w:hAnsi="Tahoma" w:cs="Tahoma"/>
                        <w:color w:val="262626" w:themeColor="text1" w:themeTint="D9"/>
                        <w:sz w:val="13"/>
                        <w:szCs w:val="15"/>
                      </w:rPr>
                      <w:t>3</w:t>
                    </w:r>
                  </w:p>
                  <w:p w14:paraId="70809223" w14:textId="6117AF53" w:rsidR="00551B00" w:rsidRPr="00BC3C1F" w:rsidRDefault="00551B00" w:rsidP="002453EB">
                    <w:pPr>
                      <w:spacing w:line="180" w:lineRule="exact"/>
                      <w:rPr>
                        <w:rFonts w:ascii="Tahoma" w:hAnsi="Tahoma" w:cs="Tahoma"/>
                        <w:color w:val="262626" w:themeColor="text1" w:themeTint="D9"/>
                        <w:sz w:val="13"/>
                        <w:szCs w:val="15"/>
                        <w:lang w:val="es-CL"/>
                      </w:rPr>
                    </w:pPr>
                    <w:r w:rsidRPr="00D40B72">
                      <w:rPr>
                        <w:rFonts w:ascii="Tahoma" w:hAnsi="Tahoma" w:cs="Tahoma"/>
                        <w:color w:val="262626" w:themeColor="text1" w:themeTint="D9"/>
                        <w:sz w:val="15"/>
                        <w:szCs w:val="15"/>
                        <w:lang w:val="es-ES"/>
                      </w:rPr>
                      <w:t>www.aduana.cl</w:t>
                    </w:r>
                  </w:p>
                  <w:p w14:paraId="0ECEB731" w14:textId="19CB8464" w:rsidR="00551B00" w:rsidRPr="000727D8" w:rsidRDefault="00551B00" w:rsidP="00287A9E">
                    <w:pPr>
                      <w:ind w:left="1134" w:right="-7229"/>
                      <w:rPr>
                        <w:rFonts w:ascii="gobCL" w:hAnsi="gobCL" w:cs="Tahoma"/>
                        <w:b/>
                        <w:color w:val="7F7F7F" w:themeColor="text1" w:themeTint="80"/>
                        <w:sz w:val="15"/>
                        <w:szCs w:val="15"/>
                      </w:rPr>
                    </w:pPr>
                  </w:p>
                </w:txbxContent>
              </v:textbox>
              <w10:wrap anchorx="margin"/>
            </v:shape>
          </w:pict>
        </mc:Fallback>
      </mc:AlternateContent>
    </w:r>
    <w:r w:rsidR="0009237D">
      <w:rPr>
        <w:noProof/>
        <w:lang w:val="es-CL" w:eastAsia="es-CL"/>
      </w:rPr>
      <w:drawing>
        <wp:anchor distT="0" distB="0" distL="114300" distR="114300" simplePos="0" relativeHeight="251671040" behindDoc="0" locked="0" layoutInCell="1" allowOverlap="1" wp14:anchorId="005011F9" wp14:editId="16D627AA">
          <wp:simplePos x="0" y="0"/>
          <wp:positionH relativeFrom="column">
            <wp:posOffset>4522470</wp:posOffset>
          </wp:positionH>
          <wp:positionV relativeFrom="paragraph">
            <wp:posOffset>-153035</wp:posOffset>
          </wp:positionV>
          <wp:extent cx="1726565" cy="402590"/>
          <wp:effectExtent l="0" t="0" r="6985" b="0"/>
          <wp:wrapThrough wrapText="bothSides">
            <wp:wrapPolygon edited="0">
              <wp:start x="0" y="0"/>
              <wp:lineTo x="0" y="20442"/>
              <wp:lineTo x="21449" y="20442"/>
              <wp:lineTo x="21449" y="0"/>
              <wp:lineTo x="0" y="0"/>
            </wp:wrapPolygon>
          </wp:wrapThrough>
          <wp:docPr id="3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6565" cy="402590"/>
                  </a:xfrm>
                  <a:prstGeom prst="rect">
                    <a:avLst/>
                  </a:prstGeom>
                  <a:noFill/>
                  <a:ln>
                    <a:noFill/>
                  </a:ln>
                </pic:spPr>
              </pic:pic>
            </a:graphicData>
          </a:graphic>
          <wp14:sizeRelH relativeFrom="page">
            <wp14:pctWidth>0</wp14:pctWidth>
          </wp14:sizeRelH>
          <wp14:sizeRelV relativeFrom="page">
            <wp14:pctHeight>0</wp14:pctHeight>
          </wp14:sizeRelV>
        </wp:anchor>
      </w:drawing>
    </w:r>
    <w:r w:rsidR="00551B00">
      <w:rPr>
        <w:noProof/>
        <w:lang w:val="es-CL" w:eastAsia="es-CL"/>
      </w:rPr>
      <mc:AlternateContent>
        <mc:Choice Requires="wps">
          <w:drawing>
            <wp:anchor distT="0" distB="0" distL="114300" distR="114300" simplePos="0" relativeHeight="251670016" behindDoc="0" locked="0" layoutInCell="1" allowOverlap="1" wp14:anchorId="68A45AF1" wp14:editId="226B138B">
              <wp:simplePos x="0" y="0"/>
              <wp:positionH relativeFrom="column">
                <wp:posOffset>4038600</wp:posOffset>
              </wp:positionH>
              <wp:positionV relativeFrom="paragraph">
                <wp:posOffset>171450</wp:posOffset>
              </wp:positionV>
              <wp:extent cx="2209800" cy="571500"/>
              <wp:effectExtent l="0" t="0" r="0" b="12700"/>
              <wp:wrapNone/>
              <wp:docPr id="13" name="Cuadro de texto 13"/>
              <wp:cNvGraphicFramePr/>
              <a:graphic xmlns:a="http://schemas.openxmlformats.org/drawingml/2006/main">
                <a:graphicData uri="http://schemas.microsoft.com/office/word/2010/wordprocessingShape">
                  <wps:wsp>
                    <wps:cNvSpPr txBox="1"/>
                    <wps:spPr>
                      <a:xfrm>
                        <a:off x="0" y="0"/>
                        <a:ext cx="22098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C8E308D" w14:textId="06B884E5" w:rsidR="00551B00" w:rsidRDefault="00551B00" w:rsidP="00A73758">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A45AF1" id="Cuadro de texto 13" o:spid="_x0000_s1030" type="#_x0000_t202" style="position:absolute;left:0;text-align:left;margin-left:318pt;margin-top:13.5pt;width:174pt;height:4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" filled="f" stroked="f">
              <v:textbox>
                <w:txbxContent>
                  <w:p w14:paraId="5C8E308D" w14:textId="06B884E5" w:rsidR="00551B00" w:rsidRDefault="00551B00" w:rsidP="00A73758">
                    <w:pPr>
                      <w:jc w:val="right"/>
                    </w:pPr>
                  </w:p>
                </w:txbxContent>
              </v:textbox>
            </v:shape>
          </w:pict>
        </mc:Fallback>
      </mc:AlternateContent>
    </w:r>
    <w:r w:rsidR="0009237D">
      <w:rPr>
        <w:noProof/>
        <w:sz w:val="20"/>
        <w:lang w:val="es-CL" w:eastAsia="es-CL"/>
      </w:rPr>
      <w:drawing>
        <wp:anchor distT="0" distB="0" distL="114300" distR="114300" simplePos="0" relativeHeight="251672064" behindDoc="0" locked="0" layoutInCell="1" allowOverlap="1" wp14:anchorId="0D148E62" wp14:editId="78451839">
          <wp:simplePos x="0" y="0"/>
          <wp:positionH relativeFrom="column">
            <wp:posOffset>-570865</wp:posOffset>
          </wp:positionH>
          <wp:positionV relativeFrom="paragraph">
            <wp:posOffset>213360</wp:posOffset>
          </wp:positionV>
          <wp:extent cx="960120" cy="75811"/>
          <wp:effectExtent l="0" t="0" r="0" b="635"/>
          <wp:wrapThrough wrapText="bothSides">
            <wp:wrapPolygon edited="0">
              <wp:start x="0" y="0"/>
              <wp:lineTo x="0" y="16336"/>
              <wp:lineTo x="21000" y="16336"/>
              <wp:lineTo x="21000" y="5445"/>
              <wp:lineTo x="20143" y="0"/>
              <wp:lineTo x="0" y="0"/>
            </wp:wrapPolygon>
          </wp:wrapThrough>
          <wp:docPr id="3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0120" cy="75811"/>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5A2983" w14:textId="77777777" w:rsidR="00436134" w:rsidRDefault="0043613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BC1064" w14:textId="77777777" w:rsidR="003D5366" w:rsidRDefault="003D5366" w:rsidP="009C340E">
      <w:r>
        <w:separator/>
      </w:r>
    </w:p>
  </w:footnote>
  <w:footnote w:type="continuationSeparator" w:id="0">
    <w:p w14:paraId="1FBA5950" w14:textId="77777777" w:rsidR="003D5366" w:rsidRDefault="003D5366" w:rsidP="009C34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AC4D7C" w14:textId="77777777" w:rsidR="00436134" w:rsidRDefault="0043613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8335BA" w14:textId="4E55F574" w:rsidR="00551B00" w:rsidRDefault="00436134" w:rsidP="00287A9E">
    <w:pPr>
      <w:pStyle w:val="Encabezado"/>
      <w:spacing w:line="120" w:lineRule="auto"/>
      <w:ind w:left="-993"/>
    </w:pPr>
    <w:sdt>
      <w:sdtPr>
        <w:id w:val="-1519687099"/>
        <w:docPartObj>
          <w:docPartGallery w:val="Watermarks"/>
          <w:docPartUnique/>
        </w:docPartObj>
      </w:sdtPr>
      <w:sdtContent>
        <w:r>
          <w:pict w14:anchorId="50F763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42368;mso-position-horizontal:center;mso-position-horizontal-relative:margin;mso-position-vertical:center;mso-position-vertical-relative:margin" o:allowincell="f" fillcolor="silver" stroked="f">
              <v:fill opacity=".5"/>
              <v:textpath style="font-family:&quot;calibri&quot;;font-size:1pt" string="BORRADOR"/>
              <w10:wrap anchorx="margin" anchory="margin"/>
            </v:shape>
          </w:pict>
        </w:r>
      </w:sdtContent>
    </w:sdt>
    <w:r w:rsidR="00551B00">
      <w:rPr>
        <w:noProof/>
        <w:lang w:val="es-CL" w:eastAsia="es-CL"/>
      </w:rPr>
      <mc:AlternateContent>
        <mc:Choice Requires="wps">
          <w:drawing>
            <wp:anchor distT="0" distB="0" distL="114300" distR="114300" simplePos="0" relativeHeight="251666944" behindDoc="0" locked="0" layoutInCell="1" allowOverlap="1" wp14:anchorId="46B401F2" wp14:editId="41367A5E">
              <wp:simplePos x="0" y="0"/>
              <wp:positionH relativeFrom="column">
                <wp:posOffset>-685800</wp:posOffset>
              </wp:positionH>
              <wp:positionV relativeFrom="paragraph">
                <wp:posOffset>64770</wp:posOffset>
              </wp:positionV>
              <wp:extent cx="1143000" cy="342900"/>
              <wp:effectExtent l="0" t="0" r="0" b="12700"/>
              <wp:wrapNone/>
              <wp:docPr id="2" name="Cuadro de texto 2"/>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19F3BBC" w14:textId="133D91AF" w:rsidR="00551B00" w:rsidRDefault="00551B00">
                          <w:r w:rsidRPr="00FA5EBD">
                            <w:rPr>
                              <w:noProof/>
                              <w:lang w:val="es-CL" w:eastAsia="es-CL"/>
                            </w:rPr>
                            <w:drawing>
                              <wp:inline distT="0" distB="0" distL="0" distR="0" wp14:anchorId="26664004" wp14:editId="060B3841">
                                <wp:extent cx="960120" cy="189764"/>
                                <wp:effectExtent l="0" t="0" r="5080" b="0"/>
                                <wp:docPr id="3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120" cy="18976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B401F2" id="_x0000_t202" coordsize="21600,21600" o:spt="202" path="m,l,21600r21600,l21600,xe">
              <v:stroke joinstyle="miter"/>
              <v:path gradientshapeok="t" o:connecttype="rect"/>
            </v:shapetype>
            <v:shape id="Cuadro de texto 2" o:spid="_x0000_s1026" type="#_x0000_t202" style="position:absolute;left:0;text-align:left;margin-left:-54pt;margin-top:5.1pt;width:90pt;height:2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" filled="f" stroked="f">
              <v:textbox>
                <w:txbxContent>
                  <w:p w14:paraId="519F3BBC" w14:textId="133D91AF" w:rsidR="00551B00" w:rsidRDefault="00551B00">
                    <w:r w:rsidRPr="00FA5EBD">
                      <w:rPr>
                        <w:noProof/>
                        <w:lang w:val="es-CL" w:eastAsia="es-CL"/>
                      </w:rPr>
                      <w:drawing>
                        <wp:inline distT="0" distB="0" distL="0" distR="0" wp14:anchorId="26664004" wp14:editId="060B3841">
                          <wp:extent cx="960120" cy="189764"/>
                          <wp:effectExtent l="0" t="0" r="5080" b="0"/>
                          <wp:docPr id="3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120" cy="189764"/>
                                  </a:xfrm>
                                  <a:prstGeom prst="rect">
                                    <a:avLst/>
                                  </a:prstGeom>
                                  <a:noFill/>
                                  <a:ln>
                                    <a:noFill/>
                                  </a:ln>
                                </pic:spPr>
                              </pic:pic>
                            </a:graphicData>
                          </a:graphic>
                        </wp:inline>
                      </w:drawing>
                    </w:r>
                  </w:p>
                </w:txbxContent>
              </v:textbox>
            </v:shape>
          </w:pict>
        </mc:Fallback>
      </mc:AlternateContent>
    </w:r>
    <w:r w:rsidR="00551B00">
      <w:br/>
    </w:r>
  </w:p>
  <w:p w14:paraId="7540784A" w14:textId="069379A8" w:rsidR="00551B00" w:rsidRDefault="00F91938" w:rsidP="00F91938">
    <w:pPr>
      <w:pStyle w:val="Encabezado"/>
      <w:tabs>
        <w:tab w:val="clear" w:pos="4419"/>
        <w:tab w:val="clear" w:pos="8838"/>
        <w:tab w:val="left" w:pos="825"/>
      </w:tabs>
      <w:spacing w:line="120" w:lineRule="auto"/>
      <w:ind w:left="-3260"/>
    </w:pPr>
    <w:r>
      <w:rPr>
        <w:noProof/>
        <w:lang w:val="es-CL" w:eastAsia="es-CL"/>
      </w:rPr>
      <mc:AlternateContent>
        <mc:Choice Requires="wps">
          <w:drawing>
            <wp:anchor distT="0" distB="0" distL="114300" distR="114300" simplePos="0" relativeHeight="251659264" behindDoc="0" locked="0" layoutInCell="1" allowOverlap="1" wp14:anchorId="704DB016" wp14:editId="227D4E1E">
              <wp:simplePos x="0" y="0"/>
              <wp:positionH relativeFrom="column">
                <wp:posOffset>-589915</wp:posOffset>
              </wp:positionH>
              <wp:positionV relativeFrom="paragraph">
                <wp:posOffset>114300</wp:posOffset>
              </wp:positionV>
              <wp:extent cx="2903220" cy="57150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2903220"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DF5CD3" w14:textId="77777777" w:rsidR="00373858" w:rsidRDefault="00551B00" w:rsidP="0024255F">
                          <w:pPr>
                            <w:spacing w:line="180" w:lineRule="exact"/>
                            <w:ind w:right="298"/>
                            <w:rPr>
                              <w:rFonts w:ascii="Tahoma" w:hAnsi="Tahoma" w:cs="Tahoma"/>
                              <w:b/>
                              <w:color w:val="000000" w:themeColor="text1"/>
                              <w:sz w:val="16"/>
                              <w:lang w:val="es-ES"/>
                            </w:rPr>
                          </w:pPr>
                          <w:r>
                            <w:rPr>
                              <w:rFonts w:ascii="Tahoma" w:hAnsi="Tahoma" w:cs="Tahoma"/>
                              <w:b/>
                              <w:color w:val="000000" w:themeColor="text1"/>
                              <w:sz w:val="16"/>
                              <w:lang w:val="es-ES"/>
                            </w:rPr>
                            <w:t>Servicio Naciona</w:t>
                          </w:r>
                          <w:r w:rsidRPr="00F42EA7">
                            <w:rPr>
                              <w:rFonts w:ascii="Tahoma" w:hAnsi="Tahoma" w:cs="Tahoma"/>
                              <w:b/>
                              <w:color w:val="000000" w:themeColor="text1"/>
                              <w:sz w:val="16"/>
                              <w:lang w:val="es-ES"/>
                            </w:rPr>
                            <w:t xml:space="preserve">l </w:t>
                          </w:r>
                        </w:p>
                        <w:p w14:paraId="4F9B85F4" w14:textId="68F8EEAE" w:rsidR="00551B00" w:rsidRDefault="00551B00" w:rsidP="0024255F">
                          <w:pPr>
                            <w:spacing w:line="180" w:lineRule="exact"/>
                            <w:ind w:right="298"/>
                            <w:rPr>
                              <w:rFonts w:ascii="Tahoma" w:hAnsi="Tahoma" w:cs="Tahoma"/>
                              <w:b/>
                              <w:color w:val="000000" w:themeColor="text1"/>
                              <w:sz w:val="16"/>
                              <w:lang w:val="es-ES"/>
                            </w:rPr>
                          </w:pPr>
                          <w:r w:rsidRPr="00F42EA7">
                            <w:rPr>
                              <w:rFonts w:ascii="Tahoma" w:hAnsi="Tahoma" w:cs="Tahoma"/>
                              <w:b/>
                              <w:color w:val="000000" w:themeColor="text1"/>
                              <w:sz w:val="16"/>
                              <w:lang w:val="es-ES"/>
                            </w:rPr>
                            <w:t>de Aduanas</w:t>
                          </w:r>
                        </w:p>
                        <w:p w14:paraId="1C6ED3C2" w14:textId="461BDFE4" w:rsidR="00551B00" w:rsidRDefault="00CA36A2" w:rsidP="00AB3DE4">
                          <w:pPr>
                            <w:spacing w:line="180" w:lineRule="exact"/>
                            <w:ind w:right="298"/>
                            <w:rPr>
                              <w:rFonts w:ascii="Tahoma" w:hAnsi="Tahoma" w:cs="Tahoma"/>
                              <w:color w:val="000000" w:themeColor="text1"/>
                              <w:sz w:val="15"/>
                              <w:lang w:val="es-ES"/>
                            </w:rPr>
                          </w:pPr>
                          <w:r>
                            <w:rPr>
                              <w:rFonts w:ascii="Tahoma" w:hAnsi="Tahoma" w:cs="Tahoma"/>
                              <w:color w:val="000000" w:themeColor="text1"/>
                              <w:sz w:val="15"/>
                              <w:lang w:val="es-ES"/>
                            </w:rPr>
                            <w:t>Subd</w:t>
                          </w:r>
                          <w:r w:rsidR="0049788F">
                            <w:rPr>
                              <w:rFonts w:ascii="Tahoma" w:hAnsi="Tahoma" w:cs="Tahoma"/>
                              <w:color w:val="000000" w:themeColor="text1"/>
                              <w:sz w:val="15"/>
                              <w:lang w:val="es-ES"/>
                            </w:rPr>
                            <w:t xml:space="preserve">irección </w:t>
                          </w:r>
                          <w:r w:rsidR="00B11BA4">
                            <w:rPr>
                              <w:rFonts w:ascii="Tahoma" w:hAnsi="Tahoma" w:cs="Tahoma"/>
                              <w:color w:val="000000" w:themeColor="text1"/>
                              <w:sz w:val="15"/>
                              <w:lang w:val="es-ES"/>
                            </w:rPr>
                            <w:t>Técnica</w:t>
                          </w:r>
                        </w:p>
                        <w:p w14:paraId="4C031354" w14:textId="58BD9994" w:rsidR="00DE6C07" w:rsidRPr="00DF42E3" w:rsidRDefault="00DE6C07" w:rsidP="00AB3DE4">
                          <w:pPr>
                            <w:spacing w:line="180" w:lineRule="exact"/>
                            <w:ind w:right="298"/>
                            <w:rPr>
                              <w:rFonts w:ascii="Tahoma" w:hAnsi="Tahoma" w:cs="Tahoma"/>
                              <w:color w:val="000000" w:themeColor="text1"/>
                              <w:sz w:val="15"/>
                              <w:lang w:val="es-ES"/>
                            </w:rPr>
                          </w:pPr>
                          <w:r>
                            <w:rPr>
                              <w:rFonts w:ascii="Tahoma" w:hAnsi="Tahoma" w:cs="Tahoma"/>
                              <w:color w:val="000000" w:themeColor="text1"/>
                              <w:sz w:val="15"/>
                              <w:lang w:val="es-ES"/>
                            </w:rPr>
                            <w:t xml:space="preserve">Departamento Técnico, Unidad </w:t>
                          </w:r>
                          <w:r w:rsidR="00306AFE">
                            <w:rPr>
                              <w:rFonts w:ascii="Tahoma" w:hAnsi="Tahoma" w:cs="Tahoma"/>
                              <w:color w:val="000000" w:themeColor="text1"/>
                              <w:sz w:val="15"/>
                              <w:lang w:val="es-ES"/>
                            </w:rPr>
                            <w:t>de Valoración y Origen</w:t>
                          </w:r>
                        </w:p>
                        <w:p w14:paraId="1F0EA4B0" w14:textId="171464A1" w:rsidR="00551B00" w:rsidRPr="00DF42E3" w:rsidRDefault="00551B00" w:rsidP="00FA5EBD">
                          <w:pPr>
                            <w:spacing w:line="180" w:lineRule="exact"/>
                            <w:ind w:right="14"/>
                            <w:jc w:val="both"/>
                            <w:rPr>
                              <w:rFonts w:ascii="Tahoma" w:hAnsi="Tahoma" w:cs="Tahoma"/>
                              <w:color w:val="000000" w:themeColor="text1"/>
                              <w:sz w:val="15"/>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DB016" id="Cuadro de texto 10" o:spid="_x0000_s1027" type="#_x0000_t202" style="position:absolute;left:0;text-align:left;margin-left:-46.45pt;margin-top:9pt;width:228.6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" filled="f" stroked="f">
              <v:textbox>
                <w:txbxContent>
                  <w:p w14:paraId="59DF5CD3" w14:textId="77777777" w:rsidR="00373858" w:rsidRDefault="00551B00" w:rsidP="0024255F">
                    <w:pPr>
                      <w:spacing w:line="180" w:lineRule="exact"/>
                      <w:ind w:right="298"/>
                      <w:rPr>
                        <w:rFonts w:ascii="Tahoma" w:hAnsi="Tahoma" w:cs="Tahoma"/>
                        <w:b/>
                        <w:color w:val="000000" w:themeColor="text1"/>
                        <w:sz w:val="16"/>
                        <w:lang w:val="es-ES"/>
                      </w:rPr>
                    </w:pPr>
                    <w:r>
                      <w:rPr>
                        <w:rFonts w:ascii="Tahoma" w:hAnsi="Tahoma" w:cs="Tahoma"/>
                        <w:b/>
                        <w:color w:val="000000" w:themeColor="text1"/>
                        <w:sz w:val="16"/>
                        <w:lang w:val="es-ES"/>
                      </w:rPr>
                      <w:t>Servicio Naciona</w:t>
                    </w:r>
                    <w:r w:rsidRPr="00F42EA7">
                      <w:rPr>
                        <w:rFonts w:ascii="Tahoma" w:hAnsi="Tahoma" w:cs="Tahoma"/>
                        <w:b/>
                        <w:color w:val="000000" w:themeColor="text1"/>
                        <w:sz w:val="16"/>
                        <w:lang w:val="es-ES"/>
                      </w:rPr>
                      <w:t xml:space="preserve">l </w:t>
                    </w:r>
                  </w:p>
                  <w:p w14:paraId="4F9B85F4" w14:textId="68F8EEAE" w:rsidR="00551B00" w:rsidRDefault="00551B00" w:rsidP="0024255F">
                    <w:pPr>
                      <w:spacing w:line="180" w:lineRule="exact"/>
                      <w:ind w:right="298"/>
                      <w:rPr>
                        <w:rFonts w:ascii="Tahoma" w:hAnsi="Tahoma" w:cs="Tahoma"/>
                        <w:b/>
                        <w:color w:val="000000" w:themeColor="text1"/>
                        <w:sz w:val="16"/>
                        <w:lang w:val="es-ES"/>
                      </w:rPr>
                    </w:pPr>
                    <w:r w:rsidRPr="00F42EA7">
                      <w:rPr>
                        <w:rFonts w:ascii="Tahoma" w:hAnsi="Tahoma" w:cs="Tahoma"/>
                        <w:b/>
                        <w:color w:val="000000" w:themeColor="text1"/>
                        <w:sz w:val="16"/>
                        <w:lang w:val="es-ES"/>
                      </w:rPr>
                      <w:t>de Aduanas</w:t>
                    </w:r>
                  </w:p>
                  <w:p w14:paraId="1C6ED3C2" w14:textId="461BDFE4" w:rsidR="00551B00" w:rsidRDefault="00CA36A2" w:rsidP="00AB3DE4">
                    <w:pPr>
                      <w:spacing w:line="180" w:lineRule="exact"/>
                      <w:ind w:right="298"/>
                      <w:rPr>
                        <w:rFonts w:ascii="Tahoma" w:hAnsi="Tahoma" w:cs="Tahoma"/>
                        <w:color w:val="000000" w:themeColor="text1"/>
                        <w:sz w:val="15"/>
                        <w:lang w:val="es-ES"/>
                      </w:rPr>
                    </w:pPr>
                    <w:r>
                      <w:rPr>
                        <w:rFonts w:ascii="Tahoma" w:hAnsi="Tahoma" w:cs="Tahoma"/>
                        <w:color w:val="000000" w:themeColor="text1"/>
                        <w:sz w:val="15"/>
                        <w:lang w:val="es-ES"/>
                      </w:rPr>
                      <w:t>Subd</w:t>
                    </w:r>
                    <w:r w:rsidR="0049788F">
                      <w:rPr>
                        <w:rFonts w:ascii="Tahoma" w:hAnsi="Tahoma" w:cs="Tahoma"/>
                        <w:color w:val="000000" w:themeColor="text1"/>
                        <w:sz w:val="15"/>
                        <w:lang w:val="es-ES"/>
                      </w:rPr>
                      <w:t xml:space="preserve">irección </w:t>
                    </w:r>
                    <w:r w:rsidR="00B11BA4">
                      <w:rPr>
                        <w:rFonts w:ascii="Tahoma" w:hAnsi="Tahoma" w:cs="Tahoma"/>
                        <w:color w:val="000000" w:themeColor="text1"/>
                        <w:sz w:val="15"/>
                        <w:lang w:val="es-ES"/>
                      </w:rPr>
                      <w:t>Técnica</w:t>
                    </w:r>
                  </w:p>
                  <w:p w14:paraId="4C031354" w14:textId="58BD9994" w:rsidR="00DE6C07" w:rsidRPr="00DF42E3" w:rsidRDefault="00DE6C07" w:rsidP="00AB3DE4">
                    <w:pPr>
                      <w:spacing w:line="180" w:lineRule="exact"/>
                      <w:ind w:right="298"/>
                      <w:rPr>
                        <w:rFonts w:ascii="Tahoma" w:hAnsi="Tahoma" w:cs="Tahoma"/>
                        <w:color w:val="000000" w:themeColor="text1"/>
                        <w:sz w:val="15"/>
                        <w:lang w:val="es-ES"/>
                      </w:rPr>
                    </w:pPr>
                    <w:r>
                      <w:rPr>
                        <w:rFonts w:ascii="Tahoma" w:hAnsi="Tahoma" w:cs="Tahoma"/>
                        <w:color w:val="000000" w:themeColor="text1"/>
                        <w:sz w:val="15"/>
                        <w:lang w:val="es-ES"/>
                      </w:rPr>
                      <w:t xml:space="preserve">Departamento Técnico, Unidad </w:t>
                    </w:r>
                    <w:r w:rsidR="00306AFE">
                      <w:rPr>
                        <w:rFonts w:ascii="Tahoma" w:hAnsi="Tahoma" w:cs="Tahoma"/>
                        <w:color w:val="000000" w:themeColor="text1"/>
                        <w:sz w:val="15"/>
                        <w:lang w:val="es-ES"/>
                      </w:rPr>
                      <w:t>de Valoración y Origen</w:t>
                    </w:r>
                  </w:p>
                  <w:p w14:paraId="1F0EA4B0" w14:textId="171464A1" w:rsidR="00551B00" w:rsidRPr="00DF42E3" w:rsidRDefault="00551B00" w:rsidP="00FA5EBD">
                    <w:pPr>
                      <w:spacing w:line="180" w:lineRule="exact"/>
                      <w:ind w:right="14"/>
                      <w:jc w:val="both"/>
                      <w:rPr>
                        <w:rFonts w:ascii="Tahoma" w:hAnsi="Tahoma" w:cs="Tahoma"/>
                        <w:color w:val="000000" w:themeColor="text1"/>
                        <w:sz w:val="15"/>
                        <w:lang w:val="es-ES"/>
                      </w:rPr>
                    </w:pPr>
                  </w:p>
                </w:txbxContent>
              </v:textbox>
            </v:shape>
          </w:pict>
        </mc:Fallback>
      </mc:AlternateContent>
    </w:r>
    <w:r w:rsidR="00551B00">
      <w:rPr>
        <w:noProof/>
        <w:lang w:val="es-CL" w:eastAsia="es-CL"/>
      </w:rPr>
      <mc:AlternateContent>
        <mc:Choice Requires="wps">
          <w:drawing>
            <wp:anchor distT="0" distB="0" distL="114300" distR="114300" simplePos="0" relativeHeight="251667968" behindDoc="0" locked="0" layoutInCell="1" allowOverlap="1" wp14:anchorId="533E932B" wp14:editId="28987A8C">
              <wp:simplePos x="0" y="0"/>
              <wp:positionH relativeFrom="column">
                <wp:posOffset>4572000</wp:posOffset>
              </wp:positionH>
              <wp:positionV relativeFrom="paragraph">
                <wp:posOffset>-6985</wp:posOffset>
              </wp:positionV>
              <wp:extent cx="1809115" cy="581025"/>
              <wp:effectExtent l="0" t="0" r="0" b="10160"/>
              <wp:wrapNone/>
              <wp:docPr id="4" name="Cuadro de texto 4"/>
              <wp:cNvGraphicFramePr/>
              <a:graphic xmlns:a="http://schemas.openxmlformats.org/drawingml/2006/main">
                <a:graphicData uri="http://schemas.microsoft.com/office/word/2010/wordprocessingShape">
                  <wps:wsp>
                    <wps:cNvSpPr txBox="1"/>
                    <wps:spPr>
                      <a:xfrm>
                        <a:off x="0" y="0"/>
                        <a:ext cx="1809115" cy="5810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9652B46" w14:textId="512FA13D" w:rsidR="00551B00" w:rsidRDefault="00551B00">
                          <w:r>
                            <w:rPr>
                              <w:noProof/>
                              <w:lang w:val="es-CL" w:eastAsia="es-CL"/>
                            </w:rPr>
                            <w:drawing>
                              <wp:inline distT="0" distB="0" distL="0" distR="0" wp14:anchorId="2AFFA5D2" wp14:editId="25BD0AEC">
                                <wp:extent cx="1618175" cy="490161"/>
                                <wp:effectExtent l="0" t="0" r="7620" b="0"/>
                                <wp:docPr id="36" name="Imagen 36" descr="SSD:Users:veronica:Desktop:logo adu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Users:veronica:Desktop:logo aduana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8175" cy="490161"/>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33E932B" id="Cuadro de texto 4" o:spid="_x0000_s1028" type="#_x0000_t202" style="position:absolute;left:0;text-align:left;margin-left:5in;margin-top:-.55pt;width:142.45pt;height:45.75pt;z-index:251667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" filled="f" stroked="f">
              <v:textbox style="mso-fit-shape-to-text:t">
                <w:txbxContent>
                  <w:p w14:paraId="39652B46" w14:textId="512FA13D" w:rsidR="00551B00" w:rsidRDefault="00551B00">
                    <w:r>
                      <w:rPr>
                        <w:noProof/>
                        <w:lang w:val="es-CL" w:eastAsia="es-CL"/>
                      </w:rPr>
                      <w:drawing>
                        <wp:inline distT="0" distB="0" distL="0" distR="0" wp14:anchorId="2AFFA5D2" wp14:editId="25BD0AEC">
                          <wp:extent cx="1618175" cy="490161"/>
                          <wp:effectExtent l="0" t="0" r="7620" b="0"/>
                          <wp:docPr id="36" name="Imagen 36" descr="SSD:Users:veronica:Desktop:logo adua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SD:Users:veronica:Desktop:logo aduana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18175" cy="490161"/>
                                  </a:xfrm>
                                  <a:prstGeom prst="rect">
                                    <a:avLst/>
                                  </a:prstGeom>
                                  <a:noFill/>
                                  <a:ln>
                                    <a:noFill/>
                                  </a:ln>
                                </pic:spPr>
                              </pic:pic>
                            </a:graphicData>
                          </a:graphic>
                        </wp:inline>
                      </w:drawing>
                    </w:r>
                  </w:p>
                </w:txbxContent>
              </v:textbox>
            </v:shape>
          </w:pict>
        </mc:Fallback>
      </mc:AlternateContent>
    </w:r>
    <w:r>
      <w:tab/>
    </w:r>
  </w:p>
  <w:p w14:paraId="7FB3AD5D" w14:textId="2B0EBD60" w:rsidR="00F91938" w:rsidRDefault="00F91938" w:rsidP="00F91938">
    <w:pPr>
      <w:pStyle w:val="Encabezado"/>
      <w:tabs>
        <w:tab w:val="clear" w:pos="4419"/>
        <w:tab w:val="clear" w:pos="8838"/>
        <w:tab w:val="left" w:pos="825"/>
      </w:tabs>
      <w:spacing w:line="120" w:lineRule="auto"/>
      <w:ind w:left="-3260"/>
    </w:pPr>
  </w:p>
  <w:p w14:paraId="6F83D7A0" w14:textId="2FF40778" w:rsidR="00F91938" w:rsidRDefault="00F91938" w:rsidP="00F91938">
    <w:pPr>
      <w:pStyle w:val="Encabezado"/>
      <w:tabs>
        <w:tab w:val="clear" w:pos="4419"/>
        <w:tab w:val="clear" w:pos="8838"/>
        <w:tab w:val="left" w:pos="825"/>
      </w:tabs>
      <w:spacing w:line="120" w:lineRule="auto"/>
      <w:ind w:left="-3260"/>
    </w:pPr>
  </w:p>
  <w:p w14:paraId="3FCF4143" w14:textId="0D0789CD" w:rsidR="00F91938" w:rsidRDefault="00F91938" w:rsidP="00F91938">
    <w:pPr>
      <w:pStyle w:val="Encabezado"/>
      <w:tabs>
        <w:tab w:val="clear" w:pos="4419"/>
        <w:tab w:val="clear" w:pos="8838"/>
        <w:tab w:val="left" w:pos="825"/>
      </w:tabs>
      <w:spacing w:line="120" w:lineRule="auto"/>
      <w:ind w:left="-3260"/>
    </w:pPr>
  </w:p>
  <w:p w14:paraId="753E2482" w14:textId="61DFF2C7" w:rsidR="00F91938" w:rsidRDefault="00F91938" w:rsidP="00F91938">
    <w:pPr>
      <w:pStyle w:val="Encabezado"/>
      <w:tabs>
        <w:tab w:val="clear" w:pos="4419"/>
        <w:tab w:val="clear" w:pos="8838"/>
        <w:tab w:val="left" w:pos="825"/>
      </w:tabs>
      <w:spacing w:line="120" w:lineRule="auto"/>
      <w:ind w:left="-3260"/>
    </w:pPr>
  </w:p>
  <w:p w14:paraId="1070B8D2" w14:textId="1963A9BA" w:rsidR="00F91938" w:rsidRDefault="00F91938" w:rsidP="00F91938">
    <w:pPr>
      <w:pStyle w:val="Encabezado"/>
      <w:tabs>
        <w:tab w:val="clear" w:pos="4419"/>
        <w:tab w:val="clear" w:pos="8838"/>
        <w:tab w:val="left" w:pos="825"/>
      </w:tabs>
      <w:spacing w:line="120" w:lineRule="auto"/>
      <w:ind w:left="-3260"/>
    </w:pPr>
  </w:p>
  <w:p w14:paraId="716342B3" w14:textId="7931F001" w:rsidR="00F91938" w:rsidRDefault="00F91938" w:rsidP="00F91938">
    <w:pPr>
      <w:pStyle w:val="Encabezado"/>
      <w:tabs>
        <w:tab w:val="clear" w:pos="4419"/>
        <w:tab w:val="clear" w:pos="8838"/>
        <w:tab w:val="left" w:pos="825"/>
      </w:tabs>
      <w:spacing w:line="120" w:lineRule="auto"/>
      <w:ind w:left="-3260"/>
    </w:pPr>
  </w:p>
  <w:p w14:paraId="29B0E4FB" w14:textId="05B4DD1E" w:rsidR="00551B00" w:rsidRDefault="00551B00" w:rsidP="00287A9E">
    <w:pPr>
      <w:pStyle w:val="Encabezado"/>
      <w:spacing w:line="120" w:lineRule="auto"/>
      <w:ind w:left="-99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28F32F" w14:textId="77777777" w:rsidR="00436134" w:rsidRDefault="0043613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15:restartNumberingAfterBreak="0">
    <w:nsid w:val="0A25566D"/>
    <w:multiLevelType w:val="hybridMultilevel"/>
    <w:tmpl w:val="3F284764"/>
    <w:lvl w:ilvl="0" w:tplc="271814BE">
      <w:start w:val="1"/>
      <w:numFmt w:val="decimal"/>
      <w:lvlText w:val="%1."/>
      <w:lvlJc w:val="left"/>
      <w:pPr>
        <w:ind w:left="720" w:hanging="360"/>
      </w:pPr>
      <w:rPr>
        <w:rFonts w:cs="Arial" w:hint="default"/>
        <w:b/>
        <w:sz w:val="2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2B675B15"/>
    <w:multiLevelType w:val="hybridMultilevel"/>
    <w:tmpl w:val="10307CA0"/>
    <w:lvl w:ilvl="0" w:tplc="73CCD8D6">
      <w:start w:val="1"/>
      <w:numFmt w:val="decimal"/>
      <w:lvlText w:val="%1."/>
      <w:lvlJc w:val="left"/>
      <w:pPr>
        <w:ind w:left="720" w:hanging="360"/>
      </w:pPr>
      <w:rPr>
        <w:rFonts w:cs="Arial" w:hint="default"/>
        <w:sz w:val="2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51305EF3"/>
    <w:multiLevelType w:val="multilevel"/>
    <w:tmpl w:val="51305EF3"/>
    <w:lvl w:ilvl="0">
      <w:start w:val="1"/>
      <w:numFmt w:val="bullet"/>
      <w:lvlText w:val=""/>
      <w:lvlJc w:val="left"/>
      <w:pPr>
        <w:ind w:left="1146" w:hanging="360"/>
      </w:pPr>
      <w:rPr>
        <w:rFonts w:ascii="Wingdings" w:hAnsi="Wingdings"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4" w15:restartNumberingAfterBreak="0">
    <w:nsid w:val="534E269B"/>
    <w:multiLevelType w:val="multilevel"/>
    <w:tmpl w:val="1246439A"/>
    <w:name w:val="WWNum42"/>
    <w:lvl w:ilvl="0">
      <w:start w:val="9"/>
      <w:numFmt w:val="decimal"/>
      <w:lvlText w:val="%1."/>
      <w:lvlJc w:val="left"/>
      <w:pPr>
        <w:tabs>
          <w:tab w:val="num" w:pos="0"/>
        </w:tabs>
        <w:ind w:left="102" w:hanging="708"/>
      </w:pPr>
      <w:rPr>
        <w:rFonts w:eastAsia="Tahoma" w:cs="Tahoma" w:hint="default"/>
        <w:b/>
        <w:bCs/>
        <w:spacing w:val="0"/>
        <w:w w:val="100"/>
        <w:sz w:val="22"/>
        <w:szCs w:val="22"/>
      </w:rPr>
    </w:lvl>
    <w:lvl w:ilvl="1">
      <w:start w:val="1"/>
      <w:numFmt w:val="decimal"/>
      <w:lvlText w:val="%1.%2"/>
      <w:lvlJc w:val="left"/>
      <w:pPr>
        <w:tabs>
          <w:tab w:val="num" w:pos="0"/>
        </w:tabs>
        <w:ind w:left="810" w:hanging="708"/>
      </w:pPr>
      <w:rPr>
        <w:rFonts w:eastAsia="Tahoma" w:cs="Tahoma" w:hint="default"/>
        <w:b/>
        <w:bCs/>
        <w:spacing w:val="-2"/>
        <w:w w:val="100"/>
        <w:sz w:val="22"/>
        <w:szCs w:val="22"/>
      </w:rPr>
    </w:lvl>
    <w:lvl w:ilvl="2">
      <w:start w:val="1"/>
      <w:numFmt w:val="bullet"/>
      <w:lvlText w:val=""/>
      <w:lvlJc w:val="left"/>
      <w:pPr>
        <w:tabs>
          <w:tab w:val="num" w:pos="0"/>
        </w:tabs>
        <w:ind w:left="1735" w:hanging="708"/>
      </w:pPr>
      <w:rPr>
        <w:rFonts w:ascii="Symbol" w:hAnsi="Symbol" w:hint="default"/>
      </w:rPr>
    </w:lvl>
    <w:lvl w:ilvl="3">
      <w:start w:val="1"/>
      <w:numFmt w:val="bullet"/>
      <w:lvlText w:val=""/>
      <w:lvlJc w:val="left"/>
      <w:pPr>
        <w:tabs>
          <w:tab w:val="num" w:pos="0"/>
        </w:tabs>
        <w:ind w:left="2651" w:hanging="708"/>
      </w:pPr>
      <w:rPr>
        <w:rFonts w:ascii="Symbol" w:hAnsi="Symbol" w:hint="default"/>
      </w:rPr>
    </w:lvl>
    <w:lvl w:ilvl="4">
      <w:start w:val="1"/>
      <w:numFmt w:val="bullet"/>
      <w:lvlText w:val=""/>
      <w:lvlJc w:val="left"/>
      <w:pPr>
        <w:tabs>
          <w:tab w:val="num" w:pos="0"/>
        </w:tabs>
        <w:ind w:left="3566" w:hanging="708"/>
      </w:pPr>
      <w:rPr>
        <w:rFonts w:ascii="Symbol" w:hAnsi="Symbol" w:hint="default"/>
      </w:rPr>
    </w:lvl>
    <w:lvl w:ilvl="5">
      <w:start w:val="1"/>
      <w:numFmt w:val="bullet"/>
      <w:lvlText w:val=""/>
      <w:lvlJc w:val="left"/>
      <w:pPr>
        <w:tabs>
          <w:tab w:val="num" w:pos="0"/>
        </w:tabs>
        <w:ind w:left="4482" w:hanging="708"/>
      </w:pPr>
      <w:rPr>
        <w:rFonts w:ascii="Symbol" w:hAnsi="Symbol" w:hint="default"/>
      </w:rPr>
    </w:lvl>
    <w:lvl w:ilvl="6">
      <w:start w:val="1"/>
      <w:numFmt w:val="bullet"/>
      <w:lvlText w:val=""/>
      <w:lvlJc w:val="left"/>
      <w:pPr>
        <w:tabs>
          <w:tab w:val="num" w:pos="0"/>
        </w:tabs>
        <w:ind w:left="5397" w:hanging="708"/>
      </w:pPr>
      <w:rPr>
        <w:rFonts w:ascii="Symbol" w:hAnsi="Symbol" w:hint="default"/>
      </w:rPr>
    </w:lvl>
    <w:lvl w:ilvl="7">
      <w:start w:val="1"/>
      <w:numFmt w:val="bullet"/>
      <w:lvlText w:val=""/>
      <w:lvlJc w:val="left"/>
      <w:pPr>
        <w:tabs>
          <w:tab w:val="num" w:pos="0"/>
        </w:tabs>
        <w:ind w:left="6313" w:hanging="708"/>
      </w:pPr>
      <w:rPr>
        <w:rFonts w:ascii="Symbol" w:hAnsi="Symbol" w:hint="default"/>
      </w:rPr>
    </w:lvl>
    <w:lvl w:ilvl="8">
      <w:start w:val="1"/>
      <w:numFmt w:val="bullet"/>
      <w:lvlText w:val=""/>
      <w:lvlJc w:val="left"/>
      <w:pPr>
        <w:tabs>
          <w:tab w:val="num" w:pos="0"/>
        </w:tabs>
        <w:ind w:left="7228" w:hanging="708"/>
      </w:pPr>
      <w:rPr>
        <w:rFonts w:ascii="Symbol" w:hAnsi="Symbol" w:hint="default"/>
      </w:rPr>
    </w:lvl>
  </w:abstractNum>
  <w:abstractNum w:abstractNumId="5" w15:restartNumberingAfterBreak="0">
    <w:nsid w:val="5E576AC5"/>
    <w:multiLevelType w:val="hybridMultilevel"/>
    <w:tmpl w:val="9FD4EEA2"/>
    <w:lvl w:ilvl="0" w:tplc="5AFAB2AE">
      <w:start w:val="1"/>
      <w:numFmt w:val="decimal"/>
      <w:lvlText w:val="%1."/>
      <w:lvlJc w:val="left"/>
      <w:pPr>
        <w:ind w:left="9010" w:hanging="360"/>
      </w:pPr>
      <w:rPr>
        <w:i w:val="0"/>
      </w:rPr>
    </w:lvl>
    <w:lvl w:ilvl="1" w:tplc="340A0019">
      <w:start w:val="1"/>
      <w:numFmt w:val="lowerLetter"/>
      <w:lvlText w:val="%2."/>
      <w:lvlJc w:val="left"/>
      <w:pPr>
        <w:ind w:left="9730" w:hanging="360"/>
      </w:pPr>
    </w:lvl>
    <w:lvl w:ilvl="2" w:tplc="340A001B" w:tentative="1">
      <w:start w:val="1"/>
      <w:numFmt w:val="lowerRoman"/>
      <w:lvlText w:val="%3."/>
      <w:lvlJc w:val="right"/>
      <w:pPr>
        <w:ind w:left="10450" w:hanging="180"/>
      </w:pPr>
    </w:lvl>
    <w:lvl w:ilvl="3" w:tplc="340A000F" w:tentative="1">
      <w:start w:val="1"/>
      <w:numFmt w:val="decimal"/>
      <w:lvlText w:val="%4."/>
      <w:lvlJc w:val="left"/>
      <w:pPr>
        <w:ind w:left="11170" w:hanging="360"/>
      </w:pPr>
    </w:lvl>
    <w:lvl w:ilvl="4" w:tplc="340A0019" w:tentative="1">
      <w:start w:val="1"/>
      <w:numFmt w:val="lowerLetter"/>
      <w:lvlText w:val="%5."/>
      <w:lvlJc w:val="left"/>
      <w:pPr>
        <w:ind w:left="11890" w:hanging="360"/>
      </w:pPr>
    </w:lvl>
    <w:lvl w:ilvl="5" w:tplc="340A001B" w:tentative="1">
      <w:start w:val="1"/>
      <w:numFmt w:val="lowerRoman"/>
      <w:lvlText w:val="%6."/>
      <w:lvlJc w:val="right"/>
      <w:pPr>
        <w:ind w:left="12610" w:hanging="180"/>
      </w:pPr>
    </w:lvl>
    <w:lvl w:ilvl="6" w:tplc="340A000F" w:tentative="1">
      <w:start w:val="1"/>
      <w:numFmt w:val="decimal"/>
      <w:lvlText w:val="%7."/>
      <w:lvlJc w:val="left"/>
      <w:pPr>
        <w:ind w:left="13330" w:hanging="360"/>
      </w:pPr>
    </w:lvl>
    <w:lvl w:ilvl="7" w:tplc="340A0019" w:tentative="1">
      <w:start w:val="1"/>
      <w:numFmt w:val="lowerLetter"/>
      <w:lvlText w:val="%8."/>
      <w:lvlJc w:val="left"/>
      <w:pPr>
        <w:ind w:left="14050" w:hanging="360"/>
      </w:pPr>
    </w:lvl>
    <w:lvl w:ilvl="8" w:tplc="340A001B" w:tentative="1">
      <w:start w:val="1"/>
      <w:numFmt w:val="lowerRoman"/>
      <w:lvlText w:val="%9."/>
      <w:lvlJc w:val="right"/>
      <w:pPr>
        <w:ind w:left="14770" w:hanging="180"/>
      </w:pPr>
    </w:lvl>
  </w:abstractNum>
  <w:abstractNum w:abstractNumId="6" w15:restartNumberingAfterBreak="0">
    <w:nsid w:val="6D65004B"/>
    <w:multiLevelType w:val="hybridMultilevel"/>
    <w:tmpl w:val="E9DE78EE"/>
    <w:lvl w:ilvl="0" w:tplc="F3EC295A">
      <w:start w:val="1"/>
      <w:numFmt w:val="bullet"/>
      <w:lvlText w:val="−"/>
      <w:lvlJc w:val="left"/>
      <w:pPr>
        <w:ind w:left="720" w:hanging="360"/>
      </w:pPr>
      <w:rPr>
        <w:rFonts w:ascii="Calibri" w:hAnsi="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7774733C"/>
    <w:multiLevelType w:val="hybridMultilevel"/>
    <w:tmpl w:val="0CAEEF1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16cid:durableId="629096421">
    <w:abstractNumId w:val="6"/>
  </w:num>
  <w:num w:numId="2" w16cid:durableId="2115637889">
    <w:abstractNumId w:val="5"/>
  </w:num>
  <w:num w:numId="3" w16cid:durableId="517935504">
    <w:abstractNumId w:val="1"/>
  </w:num>
  <w:num w:numId="4" w16cid:durableId="423919086">
    <w:abstractNumId w:val="2"/>
  </w:num>
  <w:num w:numId="5" w16cid:durableId="2093550152">
    <w:abstractNumId w:val="0"/>
  </w:num>
  <w:num w:numId="6" w16cid:durableId="1575630030">
    <w:abstractNumId w:val="3"/>
  </w:num>
  <w:num w:numId="7" w16cid:durableId="1566067000">
    <w:abstractNumId w:val="7"/>
  </w:num>
  <w:num w:numId="8" w16cid:durableId="11991283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40E"/>
    <w:rsid w:val="00002BE2"/>
    <w:rsid w:val="00015823"/>
    <w:rsid w:val="00017D25"/>
    <w:rsid w:val="00021E21"/>
    <w:rsid w:val="00023D21"/>
    <w:rsid w:val="00024476"/>
    <w:rsid w:val="00035DC3"/>
    <w:rsid w:val="000363DF"/>
    <w:rsid w:val="00043B3D"/>
    <w:rsid w:val="000500AF"/>
    <w:rsid w:val="00052F83"/>
    <w:rsid w:val="00053EBE"/>
    <w:rsid w:val="00055106"/>
    <w:rsid w:val="000600CA"/>
    <w:rsid w:val="000634E0"/>
    <w:rsid w:val="000659F2"/>
    <w:rsid w:val="000663E9"/>
    <w:rsid w:val="000727D8"/>
    <w:rsid w:val="000823B7"/>
    <w:rsid w:val="00083FDB"/>
    <w:rsid w:val="00085264"/>
    <w:rsid w:val="000857BF"/>
    <w:rsid w:val="000864F3"/>
    <w:rsid w:val="0009237D"/>
    <w:rsid w:val="0009501A"/>
    <w:rsid w:val="00096404"/>
    <w:rsid w:val="000B4AF9"/>
    <w:rsid w:val="000C049C"/>
    <w:rsid w:val="000D0123"/>
    <w:rsid w:val="000D3B4E"/>
    <w:rsid w:val="000D487B"/>
    <w:rsid w:val="000E0A86"/>
    <w:rsid w:val="000E0F13"/>
    <w:rsid w:val="000E4FB7"/>
    <w:rsid w:val="000F35E7"/>
    <w:rsid w:val="000F4210"/>
    <w:rsid w:val="00102E8E"/>
    <w:rsid w:val="001105E6"/>
    <w:rsid w:val="00120D24"/>
    <w:rsid w:val="00125BC1"/>
    <w:rsid w:val="00130494"/>
    <w:rsid w:val="001309B3"/>
    <w:rsid w:val="00135FF8"/>
    <w:rsid w:val="001361B9"/>
    <w:rsid w:val="001428FA"/>
    <w:rsid w:val="0014381D"/>
    <w:rsid w:val="00146675"/>
    <w:rsid w:val="00147284"/>
    <w:rsid w:val="001503A2"/>
    <w:rsid w:val="00150C2E"/>
    <w:rsid w:val="0015395A"/>
    <w:rsid w:val="001620E5"/>
    <w:rsid w:val="00166A17"/>
    <w:rsid w:val="00185906"/>
    <w:rsid w:val="00186BC5"/>
    <w:rsid w:val="0019065B"/>
    <w:rsid w:val="0019094B"/>
    <w:rsid w:val="00190993"/>
    <w:rsid w:val="00192899"/>
    <w:rsid w:val="0019316E"/>
    <w:rsid w:val="00193557"/>
    <w:rsid w:val="001A1D61"/>
    <w:rsid w:val="001B354E"/>
    <w:rsid w:val="001B6C7D"/>
    <w:rsid w:val="001C4FD9"/>
    <w:rsid w:val="001C6ACB"/>
    <w:rsid w:val="001E0E73"/>
    <w:rsid w:val="001E3ED1"/>
    <w:rsid w:val="001F0368"/>
    <w:rsid w:val="00200B87"/>
    <w:rsid w:val="00204079"/>
    <w:rsid w:val="00221963"/>
    <w:rsid w:val="00234D34"/>
    <w:rsid w:val="0024255F"/>
    <w:rsid w:val="00244481"/>
    <w:rsid w:val="002453EB"/>
    <w:rsid w:val="0024581A"/>
    <w:rsid w:val="00246CBD"/>
    <w:rsid w:val="00255493"/>
    <w:rsid w:val="00263637"/>
    <w:rsid w:val="00266DF9"/>
    <w:rsid w:val="00267B74"/>
    <w:rsid w:val="002841B0"/>
    <w:rsid w:val="00286AEB"/>
    <w:rsid w:val="00287A9E"/>
    <w:rsid w:val="00290C00"/>
    <w:rsid w:val="002B29A4"/>
    <w:rsid w:val="002C1969"/>
    <w:rsid w:val="002D3545"/>
    <w:rsid w:val="002D7B53"/>
    <w:rsid w:val="002E0397"/>
    <w:rsid w:val="002E3C95"/>
    <w:rsid w:val="002F7799"/>
    <w:rsid w:val="002F7DA3"/>
    <w:rsid w:val="00305938"/>
    <w:rsid w:val="00306AFE"/>
    <w:rsid w:val="00316E9C"/>
    <w:rsid w:val="00317020"/>
    <w:rsid w:val="00331D31"/>
    <w:rsid w:val="00337AA7"/>
    <w:rsid w:val="003441F3"/>
    <w:rsid w:val="00346720"/>
    <w:rsid w:val="00353F58"/>
    <w:rsid w:val="0036282D"/>
    <w:rsid w:val="00363778"/>
    <w:rsid w:val="003673F5"/>
    <w:rsid w:val="00373858"/>
    <w:rsid w:val="0038036B"/>
    <w:rsid w:val="00391E57"/>
    <w:rsid w:val="00396E8A"/>
    <w:rsid w:val="003A1DA5"/>
    <w:rsid w:val="003A1F1A"/>
    <w:rsid w:val="003A23B9"/>
    <w:rsid w:val="003A7A30"/>
    <w:rsid w:val="003B247F"/>
    <w:rsid w:val="003B2F50"/>
    <w:rsid w:val="003B52EC"/>
    <w:rsid w:val="003B66A6"/>
    <w:rsid w:val="003C3693"/>
    <w:rsid w:val="003C56EC"/>
    <w:rsid w:val="003D5366"/>
    <w:rsid w:val="003E0D46"/>
    <w:rsid w:val="003E2C1A"/>
    <w:rsid w:val="003E6AA8"/>
    <w:rsid w:val="003F4C55"/>
    <w:rsid w:val="003F5C96"/>
    <w:rsid w:val="00411B68"/>
    <w:rsid w:val="00426550"/>
    <w:rsid w:val="004276E7"/>
    <w:rsid w:val="00430FCA"/>
    <w:rsid w:val="00432413"/>
    <w:rsid w:val="00432D24"/>
    <w:rsid w:val="0043365E"/>
    <w:rsid w:val="00436134"/>
    <w:rsid w:val="00445EA0"/>
    <w:rsid w:val="004618C6"/>
    <w:rsid w:val="00465553"/>
    <w:rsid w:val="0046638F"/>
    <w:rsid w:val="0047096C"/>
    <w:rsid w:val="004751A2"/>
    <w:rsid w:val="00485870"/>
    <w:rsid w:val="004924DD"/>
    <w:rsid w:val="00494A6B"/>
    <w:rsid w:val="00494D66"/>
    <w:rsid w:val="00495B22"/>
    <w:rsid w:val="004972C4"/>
    <w:rsid w:val="0049788F"/>
    <w:rsid w:val="00497F4C"/>
    <w:rsid w:val="004B0818"/>
    <w:rsid w:val="004B2B6C"/>
    <w:rsid w:val="004D0B0F"/>
    <w:rsid w:val="004D10ED"/>
    <w:rsid w:val="004D1CD8"/>
    <w:rsid w:val="004D27A3"/>
    <w:rsid w:val="004D356E"/>
    <w:rsid w:val="004D78CC"/>
    <w:rsid w:val="004D7A15"/>
    <w:rsid w:val="004E1FFA"/>
    <w:rsid w:val="004E2676"/>
    <w:rsid w:val="00503062"/>
    <w:rsid w:val="005147D3"/>
    <w:rsid w:val="0051688E"/>
    <w:rsid w:val="00517F4D"/>
    <w:rsid w:val="00522BAC"/>
    <w:rsid w:val="00527BF2"/>
    <w:rsid w:val="00531CD2"/>
    <w:rsid w:val="00535699"/>
    <w:rsid w:val="00535DB5"/>
    <w:rsid w:val="00540297"/>
    <w:rsid w:val="00542A38"/>
    <w:rsid w:val="0054611C"/>
    <w:rsid w:val="00551B00"/>
    <w:rsid w:val="005532BB"/>
    <w:rsid w:val="00553E09"/>
    <w:rsid w:val="00555159"/>
    <w:rsid w:val="00556302"/>
    <w:rsid w:val="0055761D"/>
    <w:rsid w:val="00557CA9"/>
    <w:rsid w:val="00574A33"/>
    <w:rsid w:val="0057627F"/>
    <w:rsid w:val="0058047E"/>
    <w:rsid w:val="00595730"/>
    <w:rsid w:val="005A22B5"/>
    <w:rsid w:val="005A4707"/>
    <w:rsid w:val="005B31FA"/>
    <w:rsid w:val="005B68D1"/>
    <w:rsid w:val="005C0373"/>
    <w:rsid w:val="005C665D"/>
    <w:rsid w:val="005E371D"/>
    <w:rsid w:val="005F4D98"/>
    <w:rsid w:val="005F723E"/>
    <w:rsid w:val="005F746B"/>
    <w:rsid w:val="00606D39"/>
    <w:rsid w:val="00610073"/>
    <w:rsid w:val="006130E9"/>
    <w:rsid w:val="006176DC"/>
    <w:rsid w:val="006232AA"/>
    <w:rsid w:val="006370FB"/>
    <w:rsid w:val="00650BBE"/>
    <w:rsid w:val="00651599"/>
    <w:rsid w:val="006568E4"/>
    <w:rsid w:val="00657234"/>
    <w:rsid w:val="0066319E"/>
    <w:rsid w:val="00664D45"/>
    <w:rsid w:val="00666445"/>
    <w:rsid w:val="0067218B"/>
    <w:rsid w:val="00684164"/>
    <w:rsid w:val="006854FA"/>
    <w:rsid w:val="00686E59"/>
    <w:rsid w:val="00692ADB"/>
    <w:rsid w:val="006956B8"/>
    <w:rsid w:val="006A26C1"/>
    <w:rsid w:val="006A60C7"/>
    <w:rsid w:val="006A7C90"/>
    <w:rsid w:val="006B23E0"/>
    <w:rsid w:val="006B3EE0"/>
    <w:rsid w:val="006D1618"/>
    <w:rsid w:val="006D161C"/>
    <w:rsid w:val="006D7542"/>
    <w:rsid w:val="006F221B"/>
    <w:rsid w:val="006F679F"/>
    <w:rsid w:val="006F7CCD"/>
    <w:rsid w:val="00700CCC"/>
    <w:rsid w:val="00702AF2"/>
    <w:rsid w:val="00725BDD"/>
    <w:rsid w:val="00726B5F"/>
    <w:rsid w:val="00734042"/>
    <w:rsid w:val="007426F1"/>
    <w:rsid w:val="0074748E"/>
    <w:rsid w:val="00750D59"/>
    <w:rsid w:val="007520E6"/>
    <w:rsid w:val="007673C2"/>
    <w:rsid w:val="00790870"/>
    <w:rsid w:val="00793779"/>
    <w:rsid w:val="00793D3D"/>
    <w:rsid w:val="0079716A"/>
    <w:rsid w:val="007A1EF9"/>
    <w:rsid w:val="007A59B3"/>
    <w:rsid w:val="007B01CD"/>
    <w:rsid w:val="007B062A"/>
    <w:rsid w:val="007B214F"/>
    <w:rsid w:val="007B4C77"/>
    <w:rsid w:val="007B517A"/>
    <w:rsid w:val="007C0A8D"/>
    <w:rsid w:val="007C473B"/>
    <w:rsid w:val="007C5F47"/>
    <w:rsid w:val="007C603B"/>
    <w:rsid w:val="007C7652"/>
    <w:rsid w:val="007D0D8A"/>
    <w:rsid w:val="007E1615"/>
    <w:rsid w:val="007E539E"/>
    <w:rsid w:val="007F2335"/>
    <w:rsid w:val="00800C87"/>
    <w:rsid w:val="00802E92"/>
    <w:rsid w:val="00804A60"/>
    <w:rsid w:val="00810CC9"/>
    <w:rsid w:val="00812748"/>
    <w:rsid w:val="008147C1"/>
    <w:rsid w:val="00815AA4"/>
    <w:rsid w:val="00826A74"/>
    <w:rsid w:val="00832C0D"/>
    <w:rsid w:val="00837187"/>
    <w:rsid w:val="00851001"/>
    <w:rsid w:val="00851EEE"/>
    <w:rsid w:val="008547D1"/>
    <w:rsid w:val="00855B1D"/>
    <w:rsid w:val="00857503"/>
    <w:rsid w:val="00861796"/>
    <w:rsid w:val="008626F3"/>
    <w:rsid w:val="00863B54"/>
    <w:rsid w:val="00865790"/>
    <w:rsid w:val="00870080"/>
    <w:rsid w:val="00872065"/>
    <w:rsid w:val="00874133"/>
    <w:rsid w:val="008820E9"/>
    <w:rsid w:val="008827F9"/>
    <w:rsid w:val="008862DB"/>
    <w:rsid w:val="0089488D"/>
    <w:rsid w:val="008A1F18"/>
    <w:rsid w:val="008A6267"/>
    <w:rsid w:val="008B1164"/>
    <w:rsid w:val="008B491C"/>
    <w:rsid w:val="008C04E1"/>
    <w:rsid w:val="008C3277"/>
    <w:rsid w:val="008C6A67"/>
    <w:rsid w:val="008D402D"/>
    <w:rsid w:val="008D4EAF"/>
    <w:rsid w:val="008D50AC"/>
    <w:rsid w:val="008D6C30"/>
    <w:rsid w:val="008D7D54"/>
    <w:rsid w:val="008E1CB7"/>
    <w:rsid w:val="008E2211"/>
    <w:rsid w:val="008E2A09"/>
    <w:rsid w:val="008E7D9F"/>
    <w:rsid w:val="008F5AF2"/>
    <w:rsid w:val="009119D0"/>
    <w:rsid w:val="009139F9"/>
    <w:rsid w:val="00924E67"/>
    <w:rsid w:val="00926D64"/>
    <w:rsid w:val="0094090C"/>
    <w:rsid w:val="00942B82"/>
    <w:rsid w:val="00944F35"/>
    <w:rsid w:val="009459F3"/>
    <w:rsid w:val="0095738B"/>
    <w:rsid w:val="00957F9B"/>
    <w:rsid w:val="0096217E"/>
    <w:rsid w:val="00963FC4"/>
    <w:rsid w:val="009673D1"/>
    <w:rsid w:val="009706FD"/>
    <w:rsid w:val="009719D0"/>
    <w:rsid w:val="00972C87"/>
    <w:rsid w:val="0098297C"/>
    <w:rsid w:val="009848C3"/>
    <w:rsid w:val="00992280"/>
    <w:rsid w:val="00994587"/>
    <w:rsid w:val="009952FB"/>
    <w:rsid w:val="009A1EE2"/>
    <w:rsid w:val="009A7110"/>
    <w:rsid w:val="009B6B63"/>
    <w:rsid w:val="009C1123"/>
    <w:rsid w:val="009C340E"/>
    <w:rsid w:val="009C4B20"/>
    <w:rsid w:val="009D3FBB"/>
    <w:rsid w:val="009E2075"/>
    <w:rsid w:val="009E7F9A"/>
    <w:rsid w:val="009F0C41"/>
    <w:rsid w:val="009F138F"/>
    <w:rsid w:val="009F2F67"/>
    <w:rsid w:val="009F3E86"/>
    <w:rsid w:val="00A12721"/>
    <w:rsid w:val="00A17045"/>
    <w:rsid w:val="00A30785"/>
    <w:rsid w:val="00A40334"/>
    <w:rsid w:val="00A45FBB"/>
    <w:rsid w:val="00A66C9C"/>
    <w:rsid w:val="00A73758"/>
    <w:rsid w:val="00A83DDE"/>
    <w:rsid w:val="00A84A01"/>
    <w:rsid w:val="00A862F6"/>
    <w:rsid w:val="00A93727"/>
    <w:rsid w:val="00A94868"/>
    <w:rsid w:val="00AA3934"/>
    <w:rsid w:val="00AA4B65"/>
    <w:rsid w:val="00AA7706"/>
    <w:rsid w:val="00AB279E"/>
    <w:rsid w:val="00AB3DE4"/>
    <w:rsid w:val="00AC1C4A"/>
    <w:rsid w:val="00AD1018"/>
    <w:rsid w:val="00AD1E08"/>
    <w:rsid w:val="00AD2142"/>
    <w:rsid w:val="00AD5479"/>
    <w:rsid w:val="00AE4D1F"/>
    <w:rsid w:val="00AF17EA"/>
    <w:rsid w:val="00AF22D2"/>
    <w:rsid w:val="00AF2C4C"/>
    <w:rsid w:val="00AF5304"/>
    <w:rsid w:val="00B10852"/>
    <w:rsid w:val="00B11BA4"/>
    <w:rsid w:val="00B16E40"/>
    <w:rsid w:val="00B220E1"/>
    <w:rsid w:val="00B33842"/>
    <w:rsid w:val="00B413A8"/>
    <w:rsid w:val="00B42501"/>
    <w:rsid w:val="00B50531"/>
    <w:rsid w:val="00B50546"/>
    <w:rsid w:val="00B51010"/>
    <w:rsid w:val="00B537C2"/>
    <w:rsid w:val="00B62801"/>
    <w:rsid w:val="00B86CC3"/>
    <w:rsid w:val="00B87303"/>
    <w:rsid w:val="00BB0238"/>
    <w:rsid w:val="00BB16AF"/>
    <w:rsid w:val="00BB5299"/>
    <w:rsid w:val="00BB7E3F"/>
    <w:rsid w:val="00BC0908"/>
    <w:rsid w:val="00BC1277"/>
    <w:rsid w:val="00BC2D8D"/>
    <w:rsid w:val="00BC3C1F"/>
    <w:rsid w:val="00BC4353"/>
    <w:rsid w:val="00BC65E0"/>
    <w:rsid w:val="00BE053F"/>
    <w:rsid w:val="00BE0A2D"/>
    <w:rsid w:val="00BE3ED1"/>
    <w:rsid w:val="00BF5FFD"/>
    <w:rsid w:val="00C01C52"/>
    <w:rsid w:val="00C57149"/>
    <w:rsid w:val="00C57414"/>
    <w:rsid w:val="00C6405E"/>
    <w:rsid w:val="00C77BCD"/>
    <w:rsid w:val="00C81688"/>
    <w:rsid w:val="00C858DF"/>
    <w:rsid w:val="00C8598F"/>
    <w:rsid w:val="00C97CD5"/>
    <w:rsid w:val="00CA36A2"/>
    <w:rsid w:val="00CA669C"/>
    <w:rsid w:val="00CB64E2"/>
    <w:rsid w:val="00CC04B1"/>
    <w:rsid w:val="00CC2271"/>
    <w:rsid w:val="00CC2B28"/>
    <w:rsid w:val="00CC68B4"/>
    <w:rsid w:val="00CD2A9A"/>
    <w:rsid w:val="00CE0BBD"/>
    <w:rsid w:val="00CE76CC"/>
    <w:rsid w:val="00CF41B4"/>
    <w:rsid w:val="00CF5D15"/>
    <w:rsid w:val="00CF68AF"/>
    <w:rsid w:val="00D0305A"/>
    <w:rsid w:val="00D04BFB"/>
    <w:rsid w:val="00D15398"/>
    <w:rsid w:val="00D31925"/>
    <w:rsid w:val="00D40B72"/>
    <w:rsid w:val="00D414D1"/>
    <w:rsid w:val="00D47476"/>
    <w:rsid w:val="00D50769"/>
    <w:rsid w:val="00D51E76"/>
    <w:rsid w:val="00D541F8"/>
    <w:rsid w:val="00D57313"/>
    <w:rsid w:val="00D657C3"/>
    <w:rsid w:val="00D70DA4"/>
    <w:rsid w:val="00D732B0"/>
    <w:rsid w:val="00D94382"/>
    <w:rsid w:val="00D97029"/>
    <w:rsid w:val="00DB065C"/>
    <w:rsid w:val="00DB4AD0"/>
    <w:rsid w:val="00DB5B48"/>
    <w:rsid w:val="00DC1277"/>
    <w:rsid w:val="00DC7B01"/>
    <w:rsid w:val="00DD22E3"/>
    <w:rsid w:val="00DD635A"/>
    <w:rsid w:val="00DE5D36"/>
    <w:rsid w:val="00DE6C07"/>
    <w:rsid w:val="00DF0EF2"/>
    <w:rsid w:val="00DF42E3"/>
    <w:rsid w:val="00E02F34"/>
    <w:rsid w:val="00E038E0"/>
    <w:rsid w:val="00E04A5C"/>
    <w:rsid w:val="00E13EDC"/>
    <w:rsid w:val="00E14FAB"/>
    <w:rsid w:val="00E22C8B"/>
    <w:rsid w:val="00E23E81"/>
    <w:rsid w:val="00E24783"/>
    <w:rsid w:val="00E264E4"/>
    <w:rsid w:val="00E26A28"/>
    <w:rsid w:val="00E32E2F"/>
    <w:rsid w:val="00E331CE"/>
    <w:rsid w:val="00E333DA"/>
    <w:rsid w:val="00E4032C"/>
    <w:rsid w:val="00E417A5"/>
    <w:rsid w:val="00E431BE"/>
    <w:rsid w:val="00E45C37"/>
    <w:rsid w:val="00E45E7B"/>
    <w:rsid w:val="00E4635C"/>
    <w:rsid w:val="00E52854"/>
    <w:rsid w:val="00E56C85"/>
    <w:rsid w:val="00E620A0"/>
    <w:rsid w:val="00E637B1"/>
    <w:rsid w:val="00E763E8"/>
    <w:rsid w:val="00E90D82"/>
    <w:rsid w:val="00E96295"/>
    <w:rsid w:val="00EA18D7"/>
    <w:rsid w:val="00EA35B1"/>
    <w:rsid w:val="00EA5810"/>
    <w:rsid w:val="00EB358F"/>
    <w:rsid w:val="00EC0BAC"/>
    <w:rsid w:val="00EC2297"/>
    <w:rsid w:val="00EC29C5"/>
    <w:rsid w:val="00EC4529"/>
    <w:rsid w:val="00EC5C63"/>
    <w:rsid w:val="00ED0E11"/>
    <w:rsid w:val="00ED2423"/>
    <w:rsid w:val="00ED3995"/>
    <w:rsid w:val="00ED5D2F"/>
    <w:rsid w:val="00EE00A5"/>
    <w:rsid w:val="00EE10A5"/>
    <w:rsid w:val="00EE16C4"/>
    <w:rsid w:val="00EE2DEC"/>
    <w:rsid w:val="00EF73EA"/>
    <w:rsid w:val="00F0109A"/>
    <w:rsid w:val="00F03C93"/>
    <w:rsid w:val="00F0694C"/>
    <w:rsid w:val="00F22F63"/>
    <w:rsid w:val="00F302C5"/>
    <w:rsid w:val="00F32E61"/>
    <w:rsid w:val="00F35A57"/>
    <w:rsid w:val="00F41F13"/>
    <w:rsid w:val="00F42EA7"/>
    <w:rsid w:val="00F44A6E"/>
    <w:rsid w:val="00F524D4"/>
    <w:rsid w:val="00F64F18"/>
    <w:rsid w:val="00F818A7"/>
    <w:rsid w:val="00F85599"/>
    <w:rsid w:val="00F91938"/>
    <w:rsid w:val="00F94C6F"/>
    <w:rsid w:val="00F94CD1"/>
    <w:rsid w:val="00F97829"/>
    <w:rsid w:val="00FA5EBD"/>
    <w:rsid w:val="00FB1BD5"/>
    <w:rsid w:val="00FB7100"/>
    <w:rsid w:val="00FC1203"/>
    <w:rsid w:val="00FC1F0E"/>
    <w:rsid w:val="00FD0AD9"/>
    <w:rsid w:val="00FD64D9"/>
    <w:rsid w:val="00FE3F26"/>
    <w:rsid w:val="00FE6B82"/>
    <w:rsid w:val="00FE6D57"/>
    <w:rsid w:val="00FF327A"/>
    <w:rsid w:val="00FF3F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582EC24"/>
  <w15:docId w15:val="{9B0EC8FD-D01C-4C07-A5B6-9765B7F9B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C340E"/>
    <w:pPr>
      <w:tabs>
        <w:tab w:val="center" w:pos="4419"/>
        <w:tab w:val="right" w:pos="8838"/>
      </w:tabs>
    </w:pPr>
  </w:style>
  <w:style w:type="character" w:customStyle="1" w:styleId="EncabezadoCar">
    <w:name w:val="Encabezado Car"/>
    <w:basedOn w:val="Fuentedeprrafopredeter"/>
    <w:link w:val="Encabezado"/>
    <w:uiPriority w:val="99"/>
    <w:rsid w:val="009C340E"/>
  </w:style>
  <w:style w:type="paragraph" w:styleId="Piedepgina">
    <w:name w:val="footer"/>
    <w:basedOn w:val="Normal"/>
    <w:link w:val="PiedepginaCar"/>
    <w:uiPriority w:val="99"/>
    <w:unhideWhenUsed/>
    <w:rsid w:val="009C340E"/>
    <w:pPr>
      <w:tabs>
        <w:tab w:val="center" w:pos="4419"/>
        <w:tab w:val="right" w:pos="8838"/>
      </w:tabs>
    </w:pPr>
  </w:style>
  <w:style w:type="character" w:customStyle="1" w:styleId="PiedepginaCar">
    <w:name w:val="Pie de página Car"/>
    <w:basedOn w:val="Fuentedeprrafopredeter"/>
    <w:link w:val="Piedepgina"/>
    <w:uiPriority w:val="99"/>
    <w:rsid w:val="009C340E"/>
  </w:style>
  <w:style w:type="character" w:styleId="Hipervnculo">
    <w:name w:val="Hyperlink"/>
    <w:basedOn w:val="Fuentedeprrafopredeter"/>
    <w:uiPriority w:val="99"/>
    <w:unhideWhenUsed/>
    <w:rsid w:val="00FB7100"/>
    <w:rPr>
      <w:color w:val="0563C1" w:themeColor="hyperlink"/>
      <w:u w:val="single"/>
    </w:rPr>
  </w:style>
  <w:style w:type="character" w:styleId="Hipervnculovisitado">
    <w:name w:val="FollowedHyperlink"/>
    <w:basedOn w:val="Fuentedeprrafopredeter"/>
    <w:uiPriority w:val="99"/>
    <w:semiHidden/>
    <w:unhideWhenUsed/>
    <w:rsid w:val="00F42EA7"/>
    <w:rPr>
      <w:color w:val="954F72" w:themeColor="followedHyperlink"/>
      <w:u w:val="single"/>
    </w:rPr>
  </w:style>
  <w:style w:type="paragraph" w:styleId="Prrafodelista">
    <w:name w:val="List Paragraph"/>
    <w:basedOn w:val="Normal"/>
    <w:uiPriority w:val="34"/>
    <w:qFormat/>
    <w:rsid w:val="008D4EAF"/>
    <w:pPr>
      <w:ind w:left="720"/>
      <w:contextualSpacing/>
    </w:pPr>
  </w:style>
  <w:style w:type="paragraph" w:styleId="Textodeglobo">
    <w:name w:val="Balloon Text"/>
    <w:basedOn w:val="Normal"/>
    <w:link w:val="TextodegloboCar"/>
    <w:uiPriority w:val="99"/>
    <w:semiHidden/>
    <w:unhideWhenUsed/>
    <w:rsid w:val="00855B1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855B1D"/>
    <w:rPr>
      <w:rFonts w:ascii="Lucida Grande" w:hAnsi="Lucida Grande" w:cs="Lucida Grande"/>
      <w:sz w:val="18"/>
      <w:szCs w:val="18"/>
    </w:rPr>
  </w:style>
  <w:style w:type="paragraph" w:customStyle="1" w:styleId="0101Txt1sF7">
    <w:name w:val="01.01Txt1sF7"/>
    <w:basedOn w:val="Normal"/>
    <w:rsid w:val="0009237D"/>
    <w:pPr>
      <w:widowControl w:val="0"/>
      <w:tabs>
        <w:tab w:val="right" w:pos="284"/>
        <w:tab w:val="left" w:pos="600"/>
      </w:tabs>
      <w:spacing w:after="80" w:line="192" w:lineRule="auto"/>
      <w:ind w:left="453" w:hanging="453"/>
      <w:jc w:val="both"/>
    </w:pPr>
    <w:rPr>
      <w:rFonts w:ascii="Times New Roman" w:eastAsia="Times New Roman" w:hAnsi="Times New Roman" w:cs="Times New Roman"/>
      <w:snapToGrid w:val="0"/>
      <w:sz w:val="22"/>
      <w:szCs w:val="20"/>
      <w:lang w:val="en-US"/>
    </w:rPr>
  </w:style>
  <w:style w:type="paragraph" w:customStyle="1" w:styleId="GeneralText">
    <w:name w:val="General Text"/>
    <w:basedOn w:val="Normal"/>
    <w:rsid w:val="0009237D"/>
    <w:pPr>
      <w:widowControl w:val="0"/>
      <w:tabs>
        <w:tab w:val="right" w:pos="284"/>
        <w:tab w:val="left" w:pos="453"/>
        <w:tab w:val="left" w:pos="794"/>
      </w:tabs>
      <w:spacing w:after="80" w:line="192" w:lineRule="auto"/>
      <w:ind w:left="453" w:hanging="453"/>
      <w:jc w:val="both"/>
    </w:pPr>
    <w:rPr>
      <w:rFonts w:ascii="Times New Roman" w:eastAsia="Times New Roman" w:hAnsi="Times New Roman" w:cs="Times New Roman"/>
      <w:snapToGrid w:val="0"/>
      <w:sz w:val="22"/>
      <w:szCs w:val="20"/>
      <w:lang w:val="en-US"/>
    </w:rPr>
  </w:style>
  <w:style w:type="paragraph" w:customStyle="1" w:styleId="0101Text1">
    <w:name w:val="01.01 Text (1)"/>
    <w:basedOn w:val="Normal"/>
    <w:rsid w:val="0009237D"/>
    <w:pPr>
      <w:widowControl w:val="0"/>
      <w:tabs>
        <w:tab w:val="right" w:pos="284"/>
        <w:tab w:val="left" w:pos="453"/>
        <w:tab w:val="left" w:pos="794"/>
      </w:tabs>
      <w:spacing w:after="80" w:line="192" w:lineRule="auto"/>
      <w:ind w:left="794" w:hanging="794"/>
      <w:jc w:val="both"/>
    </w:pPr>
    <w:rPr>
      <w:rFonts w:ascii="Times New Roman" w:eastAsia="Times New Roman" w:hAnsi="Times New Roman" w:cs="Times New Roman"/>
      <w:snapToGrid w:val="0"/>
      <w:sz w:val="22"/>
      <w:szCs w:val="20"/>
      <w:lang w:val="en-US"/>
    </w:rPr>
  </w:style>
  <w:style w:type="paragraph" w:customStyle="1" w:styleId="zParaListeNiv1">
    <w:name w:val="z_ParaListeNiv1"/>
    <w:rsid w:val="0009237D"/>
    <w:pPr>
      <w:tabs>
        <w:tab w:val="left" w:pos="284"/>
        <w:tab w:val="left" w:pos="454"/>
        <w:tab w:val="left" w:pos="794"/>
      </w:tabs>
      <w:spacing w:line="192" w:lineRule="auto"/>
      <w:ind w:left="425" w:hanging="425"/>
      <w:jc w:val="both"/>
    </w:pPr>
    <w:rPr>
      <w:rFonts w:ascii="Times New Roman" w:eastAsia="Times New Roman" w:hAnsi="Times New Roman" w:cs="Times New Roman"/>
      <w:noProof/>
      <w:sz w:val="22"/>
      <w:szCs w:val="20"/>
      <w:lang w:val="en-US"/>
    </w:rPr>
  </w:style>
  <w:style w:type="paragraph" w:customStyle="1" w:styleId="zParaListeNiv2">
    <w:name w:val="z_ParaListeNiv2"/>
    <w:rsid w:val="0009237D"/>
    <w:pPr>
      <w:tabs>
        <w:tab w:val="left" w:pos="357"/>
        <w:tab w:val="left" w:pos="794"/>
      </w:tabs>
      <w:spacing w:line="192" w:lineRule="auto"/>
      <w:ind w:left="794" w:hanging="340"/>
      <w:jc w:val="both"/>
    </w:pPr>
    <w:rPr>
      <w:rFonts w:ascii="Times New Roman" w:eastAsia="Times New Roman" w:hAnsi="Times New Roman" w:cs="Times New Roman"/>
      <w:noProof/>
      <w:sz w:val="22"/>
      <w:szCs w:val="20"/>
      <w:lang w:val="en-US"/>
    </w:rPr>
  </w:style>
  <w:style w:type="paragraph" w:styleId="Revisin">
    <w:name w:val="Revision"/>
    <w:hidden/>
    <w:uiPriority w:val="99"/>
    <w:semiHidden/>
    <w:rsid w:val="00AD2142"/>
  </w:style>
  <w:style w:type="paragraph" w:customStyle="1" w:styleId="Prrafodelista1">
    <w:name w:val="Párrafo de lista1"/>
    <w:basedOn w:val="Normal"/>
    <w:rsid w:val="00306AFE"/>
    <w:pPr>
      <w:suppressAutoHyphens/>
      <w:ind w:left="720"/>
    </w:pPr>
    <w:rPr>
      <w:rFonts w:ascii="Calibri" w:eastAsia="SimSun" w:hAnsi="Calibri" w:cs="Times New Roman"/>
      <w:lang w:val="es-ES" w:eastAsia="ar-SA"/>
    </w:rPr>
  </w:style>
  <w:style w:type="paragraph" w:styleId="Textocomentario">
    <w:name w:val="annotation text"/>
    <w:basedOn w:val="Normal"/>
    <w:link w:val="TextocomentarioCar1"/>
    <w:uiPriority w:val="99"/>
    <w:unhideWhenUsed/>
    <w:rsid w:val="00D541F8"/>
    <w:pPr>
      <w:suppressAutoHyphens/>
    </w:pPr>
    <w:rPr>
      <w:rFonts w:ascii="Calibri" w:eastAsia="SimSun" w:hAnsi="Calibri" w:cs="Times New Roman"/>
      <w:sz w:val="20"/>
      <w:szCs w:val="20"/>
      <w:lang w:val="es-ES" w:eastAsia="ar-SA"/>
    </w:rPr>
  </w:style>
  <w:style w:type="character" w:customStyle="1" w:styleId="TextocomentarioCar">
    <w:name w:val="Texto comentario Car"/>
    <w:basedOn w:val="Fuentedeprrafopredeter"/>
    <w:uiPriority w:val="99"/>
    <w:semiHidden/>
    <w:rsid w:val="00D541F8"/>
    <w:rPr>
      <w:sz w:val="20"/>
      <w:szCs w:val="20"/>
    </w:rPr>
  </w:style>
  <w:style w:type="character" w:customStyle="1" w:styleId="TextocomentarioCar1">
    <w:name w:val="Texto comentario Car1"/>
    <w:link w:val="Textocomentario"/>
    <w:uiPriority w:val="99"/>
    <w:rsid w:val="00D541F8"/>
    <w:rPr>
      <w:rFonts w:ascii="Calibri" w:eastAsia="SimSun" w:hAnsi="Calibri" w:cs="Times New Roman"/>
      <w:sz w:val="20"/>
      <w:szCs w:val="20"/>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869744">
      <w:bodyDiv w:val="1"/>
      <w:marLeft w:val="0"/>
      <w:marRight w:val="0"/>
      <w:marTop w:val="0"/>
      <w:marBottom w:val="0"/>
      <w:divBdr>
        <w:top w:val="none" w:sz="0" w:space="0" w:color="auto"/>
        <w:left w:val="none" w:sz="0" w:space="0" w:color="auto"/>
        <w:bottom w:val="none" w:sz="0" w:space="0" w:color="auto"/>
        <w:right w:val="none" w:sz="0" w:space="0" w:color="auto"/>
      </w:divBdr>
    </w:div>
    <w:div w:id="157967403">
      <w:bodyDiv w:val="1"/>
      <w:marLeft w:val="0"/>
      <w:marRight w:val="0"/>
      <w:marTop w:val="0"/>
      <w:marBottom w:val="0"/>
      <w:divBdr>
        <w:top w:val="none" w:sz="0" w:space="0" w:color="auto"/>
        <w:left w:val="none" w:sz="0" w:space="0" w:color="auto"/>
        <w:bottom w:val="none" w:sz="0" w:space="0" w:color="auto"/>
        <w:right w:val="none" w:sz="0" w:space="0" w:color="auto"/>
      </w:divBdr>
    </w:div>
    <w:div w:id="285163434">
      <w:bodyDiv w:val="1"/>
      <w:marLeft w:val="0"/>
      <w:marRight w:val="0"/>
      <w:marTop w:val="0"/>
      <w:marBottom w:val="0"/>
      <w:divBdr>
        <w:top w:val="none" w:sz="0" w:space="0" w:color="auto"/>
        <w:left w:val="none" w:sz="0" w:space="0" w:color="auto"/>
        <w:bottom w:val="none" w:sz="0" w:space="0" w:color="auto"/>
        <w:right w:val="none" w:sz="0" w:space="0" w:color="auto"/>
      </w:divBdr>
    </w:div>
    <w:div w:id="497423671">
      <w:bodyDiv w:val="1"/>
      <w:marLeft w:val="0"/>
      <w:marRight w:val="0"/>
      <w:marTop w:val="0"/>
      <w:marBottom w:val="0"/>
      <w:divBdr>
        <w:top w:val="none" w:sz="0" w:space="0" w:color="auto"/>
        <w:left w:val="none" w:sz="0" w:space="0" w:color="auto"/>
        <w:bottom w:val="none" w:sz="0" w:space="0" w:color="auto"/>
        <w:right w:val="none" w:sz="0" w:space="0" w:color="auto"/>
      </w:divBdr>
    </w:div>
    <w:div w:id="545994445">
      <w:bodyDiv w:val="1"/>
      <w:marLeft w:val="0"/>
      <w:marRight w:val="0"/>
      <w:marTop w:val="0"/>
      <w:marBottom w:val="0"/>
      <w:divBdr>
        <w:top w:val="none" w:sz="0" w:space="0" w:color="auto"/>
        <w:left w:val="none" w:sz="0" w:space="0" w:color="auto"/>
        <w:bottom w:val="none" w:sz="0" w:space="0" w:color="auto"/>
        <w:right w:val="none" w:sz="0" w:space="0" w:color="auto"/>
      </w:divBdr>
    </w:div>
    <w:div w:id="569655345">
      <w:bodyDiv w:val="1"/>
      <w:marLeft w:val="0"/>
      <w:marRight w:val="0"/>
      <w:marTop w:val="0"/>
      <w:marBottom w:val="0"/>
      <w:divBdr>
        <w:top w:val="none" w:sz="0" w:space="0" w:color="auto"/>
        <w:left w:val="none" w:sz="0" w:space="0" w:color="auto"/>
        <w:bottom w:val="none" w:sz="0" w:space="0" w:color="auto"/>
        <w:right w:val="none" w:sz="0" w:space="0" w:color="auto"/>
      </w:divBdr>
    </w:div>
    <w:div w:id="581180369">
      <w:bodyDiv w:val="1"/>
      <w:marLeft w:val="0"/>
      <w:marRight w:val="0"/>
      <w:marTop w:val="0"/>
      <w:marBottom w:val="0"/>
      <w:divBdr>
        <w:top w:val="none" w:sz="0" w:space="0" w:color="auto"/>
        <w:left w:val="none" w:sz="0" w:space="0" w:color="auto"/>
        <w:bottom w:val="none" w:sz="0" w:space="0" w:color="auto"/>
        <w:right w:val="none" w:sz="0" w:space="0" w:color="auto"/>
      </w:divBdr>
    </w:div>
    <w:div w:id="744258962">
      <w:bodyDiv w:val="1"/>
      <w:marLeft w:val="0"/>
      <w:marRight w:val="0"/>
      <w:marTop w:val="0"/>
      <w:marBottom w:val="0"/>
      <w:divBdr>
        <w:top w:val="none" w:sz="0" w:space="0" w:color="auto"/>
        <w:left w:val="none" w:sz="0" w:space="0" w:color="auto"/>
        <w:bottom w:val="none" w:sz="0" w:space="0" w:color="auto"/>
        <w:right w:val="none" w:sz="0" w:space="0" w:color="auto"/>
      </w:divBdr>
    </w:div>
    <w:div w:id="1119301355">
      <w:bodyDiv w:val="1"/>
      <w:marLeft w:val="0"/>
      <w:marRight w:val="0"/>
      <w:marTop w:val="0"/>
      <w:marBottom w:val="0"/>
      <w:divBdr>
        <w:top w:val="none" w:sz="0" w:space="0" w:color="auto"/>
        <w:left w:val="none" w:sz="0" w:space="0" w:color="auto"/>
        <w:bottom w:val="none" w:sz="0" w:space="0" w:color="auto"/>
        <w:right w:val="none" w:sz="0" w:space="0" w:color="auto"/>
      </w:divBdr>
    </w:div>
    <w:div w:id="1396470012">
      <w:bodyDiv w:val="1"/>
      <w:marLeft w:val="0"/>
      <w:marRight w:val="0"/>
      <w:marTop w:val="0"/>
      <w:marBottom w:val="0"/>
      <w:divBdr>
        <w:top w:val="none" w:sz="0" w:space="0" w:color="auto"/>
        <w:left w:val="none" w:sz="0" w:space="0" w:color="auto"/>
        <w:bottom w:val="none" w:sz="0" w:space="0" w:color="auto"/>
        <w:right w:val="none" w:sz="0" w:space="0" w:color="auto"/>
      </w:divBdr>
    </w:div>
    <w:div w:id="1460296572">
      <w:bodyDiv w:val="1"/>
      <w:marLeft w:val="0"/>
      <w:marRight w:val="0"/>
      <w:marTop w:val="0"/>
      <w:marBottom w:val="0"/>
      <w:divBdr>
        <w:top w:val="none" w:sz="0" w:space="0" w:color="auto"/>
        <w:left w:val="none" w:sz="0" w:space="0" w:color="auto"/>
        <w:bottom w:val="none" w:sz="0" w:space="0" w:color="auto"/>
        <w:right w:val="none" w:sz="0" w:space="0" w:color="auto"/>
      </w:divBdr>
    </w:div>
    <w:div w:id="1513569647">
      <w:bodyDiv w:val="1"/>
      <w:marLeft w:val="0"/>
      <w:marRight w:val="0"/>
      <w:marTop w:val="0"/>
      <w:marBottom w:val="0"/>
      <w:divBdr>
        <w:top w:val="none" w:sz="0" w:space="0" w:color="auto"/>
        <w:left w:val="none" w:sz="0" w:space="0" w:color="auto"/>
        <w:bottom w:val="none" w:sz="0" w:space="0" w:color="auto"/>
        <w:right w:val="none" w:sz="0" w:space="0" w:color="auto"/>
      </w:divBdr>
    </w:div>
    <w:div w:id="1697541545">
      <w:bodyDiv w:val="1"/>
      <w:marLeft w:val="0"/>
      <w:marRight w:val="0"/>
      <w:marTop w:val="0"/>
      <w:marBottom w:val="0"/>
      <w:divBdr>
        <w:top w:val="none" w:sz="0" w:space="0" w:color="auto"/>
        <w:left w:val="none" w:sz="0" w:space="0" w:color="auto"/>
        <w:bottom w:val="none" w:sz="0" w:space="0" w:color="auto"/>
        <w:right w:val="none" w:sz="0" w:space="0" w:color="auto"/>
      </w:divBdr>
    </w:div>
    <w:div w:id="2090035204">
      <w:bodyDiv w:val="1"/>
      <w:marLeft w:val="0"/>
      <w:marRight w:val="0"/>
      <w:marTop w:val="0"/>
      <w:marBottom w:val="0"/>
      <w:divBdr>
        <w:top w:val="none" w:sz="0" w:space="0" w:color="auto"/>
        <w:left w:val="none" w:sz="0" w:space="0" w:color="auto"/>
        <w:bottom w:val="none" w:sz="0" w:space="0" w:color="auto"/>
        <w:right w:val="none" w:sz="0" w:space="0" w:color="auto"/>
      </w:divBdr>
    </w:div>
    <w:div w:id="20991285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4</Pages>
  <Words>2133</Words>
  <Characters>11737</Characters>
  <Application>Microsoft Office Word</Application>
  <DocSecurity>0</DocSecurity>
  <Lines>97</Lines>
  <Paragraphs>27</Paragraphs>
  <ScaleCrop>false</ScaleCrop>
  <HeadingPairs>
    <vt:vector size="4" baseType="variant">
      <vt:variant>
        <vt:lpstr>Título</vt:lpstr>
      </vt:variant>
      <vt:variant>
        <vt:i4>1</vt:i4>
      </vt:variant>
      <vt:variant>
        <vt:lpstr>Headings</vt:lpstr>
      </vt:variant>
      <vt:variant>
        <vt:i4>5</vt:i4>
      </vt:variant>
    </vt:vector>
  </HeadingPairs>
  <TitlesOfParts>
    <vt:vector size="6" baseType="lpstr">
      <vt:lpstr/>
      <vt:lpstr>OF. ORDINARIO Nº </vt:lpstr>
      <vt:lpstr/>
      <vt:lpstr/>
      <vt:lpstr/>
      <vt:lpstr>DE: Jefa Departamento Secretaría General</vt:lpstr>
    </vt:vector>
  </TitlesOfParts>
  <Company/>
  <LinksUpToDate>false</LinksUpToDate>
  <CharactersWithSpaces>13843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Bernardita Palacios Scheggia</cp:lastModifiedBy>
  <cp:revision>14</cp:revision>
  <cp:lastPrinted>2024-11-11T14:20:00Z</cp:lastPrinted>
  <dcterms:created xsi:type="dcterms:W3CDTF">2024-11-11T14:23:00Z</dcterms:created>
  <dcterms:modified xsi:type="dcterms:W3CDTF">2024-11-11T14:39:00Z</dcterms:modified>
</cp:coreProperties>
</file>