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951CCE" w14:textId="3616DF25" w:rsidR="00884800" w:rsidRDefault="00884800" w:rsidP="00E15F26">
      <w:pPr>
        <w:ind w:left="102" w:right="106"/>
        <w:jc w:val="both"/>
        <w:rPr>
          <w:b/>
          <w:sz w:val="26"/>
        </w:rPr>
      </w:pPr>
      <w:r>
        <w:rPr>
          <w:b/>
        </w:rPr>
        <w:t xml:space="preserve">ANEXO </w:t>
      </w:r>
      <w:r w:rsidRPr="00A77A42">
        <w:rPr>
          <w:b/>
        </w:rPr>
        <w:t xml:space="preserve">N° </w:t>
      </w:r>
      <w:r w:rsidR="008108F8">
        <w:rPr>
          <w:b/>
        </w:rPr>
        <w:t>XX</w:t>
      </w:r>
      <w:r w:rsidRPr="00A77A42">
        <w:rPr>
          <w:b/>
        </w:rPr>
        <w:t xml:space="preserve">: </w:t>
      </w:r>
      <w:r w:rsidR="00A77A42" w:rsidRPr="00A77A42">
        <w:rPr>
          <w:b/>
        </w:rPr>
        <w:t>Procedimiento para incorporación de mercancías bajo la modalidad de precios provisorios</w:t>
      </w:r>
    </w:p>
    <w:p w14:paraId="0B7EF084" w14:textId="77777777" w:rsidR="00884800" w:rsidRDefault="00884800" w:rsidP="00E15F26">
      <w:pPr>
        <w:pStyle w:val="Textoindependiente"/>
        <w:rPr>
          <w:b/>
          <w:sz w:val="26"/>
        </w:rPr>
      </w:pPr>
    </w:p>
    <w:p w14:paraId="1FDDBE2A" w14:textId="77777777" w:rsidR="00E15F26" w:rsidRDefault="00E15F26" w:rsidP="00E15F26">
      <w:pPr>
        <w:pStyle w:val="Textoindependiente"/>
        <w:rPr>
          <w:b/>
          <w:sz w:val="26"/>
        </w:rPr>
      </w:pPr>
    </w:p>
    <w:p w14:paraId="18D50C4E" w14:textId="77777777" w:rsidR="00884800" w:rsidRPr="00E15F26" w:rsidRDefault="00884800" w:rsidP="00E15F26">
      <w:pPr>
        <w:pStyle w:val="Prrafodelista1"/>
        <w:numPr>
          <w:ilvl w:val="0"/>
          <w:numId w:val="2"/>
        </w:numPr>
        <w:tabs>
          <w:tab w:val="left" w:pos="668"/>
          <w:tab w:val="left" w:pos="669"/>
        </w:tabs>
        <w:spacing w:before="0"/>
        <w:rPr>
          <w:b/>
          <w:sz w:val="21"/>
        </w:rPr>
      </w:pPr>
      <w:r w:rsidRPr="00E15F26">
        <w:rPr>
          <w:b/>
        </w:rPr>
        <w:t>Lugar de</w:t>
      </w:r>
      <w:r w:rsidRPr="00E15F26">
        <w:rPr>
          <w:b/>
          <w:spacing w:val="-3"/>
        </w:rPr>
        <w:t xml:space="preserve"> </w:t>
      </w:r>
      <w:r w:rsidRPr="00E15F26">
        <w:rPr>
          <w:b/>
        </w:rPr>
        <w:t>presentación.</w:t>
      </w:r>
    </w:p>
    <w:p w14:paraId="4045C4E8" w14:textId="77777777" w:rsidR="00884800" w:rsidRDefault="00884800" w:rsidP="00E15F26">
      <w:pPr>
        <w:pStyle w:val="Textoindependiente"/>
        <w:rPr>
          <w:sz w:val="21"/>
        </w:rPr>
      </w:pPr>
    </w:p>
    <w:p w14:paraId="4F9FD771" w14:textId="78F8A5F3" w:rsidR="00884800" w:rsidRDefault="00884800" w:rsidP="00E15F26">
      <w:pPr>
        <w:pStyle w:val="Textoindependiente"/>
        <w:ind w:left="102" w:right="101"/>
        <w:jc w:val="both"/>
        <w:rPr>
          <w:sz w:val="26"/>
        </w:rPr>
      </w:pPr>
      <w:r>
        <w:t xml:space="preserve">El interesado deberá </w:t>
      </w:r>
      <w:r w:rsidR="00970209">
        <w:t>realiz</w:t>
      </w:r>
      <w:r>
        <w:t>ar una presentación en la Oficinas de Atención y Asistencia al Usuario del Servicio Nacional de Aduanas, dirigida al Director Nacional de Aduanas.</w:t>
      </w:r>
    </w:p>
    <w:p w14:paraId="4E19C873" w14:textId="77777777" w:rsidR="00E15F26" w:rsidRDefault="00E15F26" w:rsidP="00E15F26">
      <w:pPr>
        <w:pStyle w:val="Textoindependiente"/>
        <w:rPr>
          <w:sz w:val="26"/>
        </w:rPr>
      </w:pPr>
    </w:p>
    <w:p w14:paraId="4E2BCC9A" w14:textId="77777777" w:rsidR="00884800" w:rsidRPr="00E15F26" w:rsidRDefault="00884800" w:rsidP="00E15F26">
      <w:pPr>
        <w:pStyle w:val="Prrafodelista1"/>
        <w:numPr>
          <w:ilvl w:val="0"/>
          <w:numId w:val="2"/>
        </w:numPr>
        <w:tabs>
          <w:tab w:val="left" w:pos="668"/>
          <w:tab w:val="left" w:pos="669"/>
        </w:tabs>
        <w:spacing w:before="0"/>
        <w:rPr>
          <w:b/>
        </w:rPr>
      </w:pPr>
      <w:r w:rsidRPr="00E15F26">
        <w:rPr>
          <w:b/>
        </w:rPr>
        <w:t>Antecedentes de la presentación y</w:t>
      </w:r>
      <w:r w:rsidRPr="00E15F26">
        <w:rPr>
          <w:b/>
          <w:spacing w:val="-18"/>
        </w:rPr>
        <w:t xml:space="preserve"> </w:t>
      </w:r>
      <w:r w:rsidRPr="00E15F26">
        <w:rPr>
          <w:b/>
        </w:rPr>
        <w:t>admisibilidad.</w:t>
      </w:r>
    </w:p>
    <w:p w14:paraId="01550E36" w14:textId="77777777" w:rsidR="00884800" w:rsidRDefault="00884800" w:rsidP="00E15F26">
      <w:pPr>
        <w:pStyle w:val="Textoindependiente"/>
      </w:pPr>
    </w:p>
    <w:p w14:paraId="370ECE10" w14:textId="17B21354" w:rsidR="00884800" w:rsidRDefault="00884800" w:rsidP="00E15F26">
      <w:pPr>
        <w:pStyle w:val="Textoindependiente"/>
        <w:ind w:left="102" w:right="100"/>
        <w:jc w:val="both"/>
      </w:pPr>
      <w:r>
        <w:t>Además de los requisitos establecidos en el artículo 30 de la ley N° 19.880, sobre Bases de los Procedimientos Administrativos que rigen los Actos de los Órganos de la Administración del Estado, se deben adjuntar a la solicitud, los siguientes</w:t>
      </w:r>
      <w:r>
        <w:rPr>
          <w:spacing w:val="-10"/>
        </w:rPr>
        <w:t xml:space="preserve"> </w:t>
      </w:r>
      <w:r>
        <w:t>documentos:</w:t>
      </w:r>
    </w:p>
    <w:p w14:paraId="4E04083D" w14:textId="77777777" w:rsidR="00884800" w:rsidRDefault="00884800" w:rsidP="00E15F26">
      <w:pPr>
        <w:pStyle w:val="Textoindependiente"/>
      </w:pPr>
    </w:p>
    <w:p w14:paraId="0BBCFBF5" w14:textId="77777777" w:rsidR="00884800" w:rsidRDefault="006D79EB" w:rsidP="00E15F26">
      <w:pPr>
        <w:pStyle w:val="Prrafodelista1"/>
        <w:numPr>
          <w:ilvl w:val="0"/>
          <w:numId w:val="1"/>
        </w:numPr>
        <w:spacing w:before="0"/>
        <w:ind w:left="709" w:right="103"/>
        <w:rPr>
          <w:sz w:val="21"/>
        </w:rPr>
      </w:pPr>
      <w:r>
        <w:t>C</w:t>
      </w:r>
      <w:r w:rsidR="00884800">
        <w:t>opia de los documentos que acrediten los motivos de la modificación del precio, respecto de las mercancías que ingresen al país y su periodo de vigencia.</w:t>
      </w:r>
    </w:p>
    <w:p w14:paraId="6C1A99C7" w14:textId="77777777" w:rsidR="00884800" w:rsidRDefault="00884800" w:rsidP="00E15F26">
      <w:pPr>
        <w:pStyle w:val="Textoindependiente"/>
        <w:ind w:left="709" w:hanging="567"/>
        <w:rPr>
          <w:sz w:val="21"/>
        </w:rPr>
      </w:pPr>
    </w:p>
    <w:p w14:paraId="538A54D6" w14:textId="77777777" w:rsidR="00884800" w:rsidRDefault="00884800" w:rsidP="00E15F26">
      <w:pPr>
        <w:pStyle w:val="Prrafodelista1"/>
        <w:numPr>
          <w:ilvl w:val="0"/>
          <w:numId w:val="1"/>
        </w:numPr>
        <w:tabs>
          <w:tab w:val="left" w:pos="669"/>
        </w:tabs>
        <w:spacing w:before="0"/>
        <w:ind w:left="709"/>
      </w:pPr>
      <w:r>
        <w:t>Explicación de la forma de cálculo del precio</w:t>
      </w:r>
      <w:r>
        <w:rPr>
          <w:spacing w:val="-9"/>
        </w:rPr>
        <w:t xml:space="preserve"> </w:t>
      </w:r>
      <w:r>
        <w:t>provisorio.</w:t>
      </w:r>
    </w:p>
    <w:p w14:paraId="7CE58528" w14:textId="77777777" w:rsidR="00884800" w:rsidRDefault="00884800" w:rsidP="00E15F26">
      <w:pPr>
        <w:pStyle w:val="Textoindependiente"/>
        <w:ind w:left="709" w:hanging="567"/>
      </w:pPr>
    </w:p>
    <w:p w14:paraId="0C32538F" w14:textId="77777777" w:rsidR="00884800" w:rsidRDefault="00884800" w:rsidP="00E15F26">
      <w:pPr>
        <w:pStyle w:val="Prrafodelista1"/>
        <w:numPr>
          <w:ilvl w:val="0"/>
          <w:numId w:val="1"/>
        </w:numPr>
        <w:tabs>
          <w:tab w:val="left" w:pos="669"/>
        </w:tabs>
        <w:spacing w:before="0"/>
        <w:ind w:left="709"/>
      </w:pPr>
      <w:r>
        <w:t>Explicación de la forma de cálculo del precio</w:t>
      </w:r>
      <w:r>
        <w:rPr>
          <w:spacing w:val="-8"/>
        </w:rPr>
        <w:t xml:space="preserve"> </w:t>
      </w:r>
      <w:r>
        <w:t>definitivo.</w:t>
      </w:r>
    </w:p>
    <w:p w14:paraId="01BC4A87" w14:textId="77777777" w:rsidR="00884800" w:rsidRDefault="00884800" w:rsidP="00E15F26">
      <w:pPr>
        <w:pStyle w:val="Prrafodelista1"/>
        <w:spacing w:before="0"/>
        <w:ind w:left="709"/>
      </w:pPr>
    </w:p>
    <w:p w14:paraId="2F83CBA6" w14:textId="77777777" w:rsidR="00884800" w:rsidRPr="00D70F4F" w:rsidRDefault="00E15F26" w:rsidP="00E15F26">
      <w:pPr>
        <w:pStyle w:val="Prrafodelista1"/>
        <w:numPr>
          <w:ilvl w:val="0"/>
          <w:numId w:val="1"/>
        </w:numPr>
        <w:tabs>
          <w:tab w:val="left" w:pos="669"/>
        </w:tabs>
        <w:spacing w:before="0"/>
        <w:ind w:left="709"/>
        <w:rPr>
          <w:sz w:val="21"/>
        </w:rPr>
      </w:pPr>
      <w:r>
        <w:t>Ítem arancelario</w:t>
      </w:r>
      <w:r w:rsidR="00884800">
        <w:t xml:space="preserve"> de la mercancía</w:t>
      </w:r>
      <w:r>
        <w:t xml:space="preserve"> a 8 dígitos</w:t>
      </w:r>
      <w:r w:rsidR="00884800">
        <w:t>.</w:t>
      </w:r>
    </w:p>
    <w:p w14:paraId="6E287865" w14:textId="77777777" w:rsidR="00D70F4F" w:rsidRPr="005F021D" w:rsidRDefault="00D70F4F" w:rsidP="005F021D">
      <w:pPr>
        <w:pStyle w:val="Prrafodelista1"/>
        <w:tabs>
          <w:tab w:val="left" w:pos="669"/>
        </w:tabs>
        <w:spacing w:before="0"/>
        <w:ind w:left="709" w:firstLine="0"/>
      </w:pPr>
    </w:p>
    <w:p w14:paraId="219FAA69" w14:textId="76544CF8" w:rsidR="00D70F4F" w:rsidRPr="005F021D" w:rsidRDefault="00D70F4F" w:rsidP="00E15F26">
      <w:pPr>
        <w:pStyle w:val="Prrafodelista1"/>
        <w:numPr>
          <w:ilvl w:val="0"/>
          <w:numId w:val="1"/>
        </w:numPr>
        <w:tabs>
          <w:tab w:val="left" w:pos="669"/>
        </w:tabs>
        <w:spacing w:before="0"/>
        <w:ind w:left="709"/>
      </w:pPr>
      <w:r w:rsidRPr="005F021D">
        <w:t>Otros documentos que el importador considere pertinentes presentar a la autoridad aduanera para fundamentar la solicitud</w:t>
      </w:r>
      <w:r w:rsidR="009010ED">
        <w:t>.</w:t>
      </w:r>
    </w:p>
    <w:p w14:paraId="05595165" w14:textId="77777777" w:rsidR="00884800" w:rsidRDefault="00884800" w:rsidP="00E15F26">
      <w:pPr>
        <w:pStyle w:val="Textoindependiente"/>
        <w:rPr>
          <w:sz w:val="21"/>
        </w:rPr>
      </w:pPr>
    </w:p>
    <w:p w14:paraId="4E943B99" w14:textId="77777777" w:rsidR="00884800" w:rsidRDefault="00884800" w:rsidP="00E15F26">
      <w:pPr>
        <w:pStyle w:val="Textoindependiente"/>
        <w:ind w:left="102" w:right="100"/>
        <w:jc w:val="both"/>
        <w:rPr>
          <w:sz w:val="26"/>
        </w:rPr>
      </w:pPr>
      <w:r>
        <w:t>La Subdirección Técnica revisará el cumplimiento de los requisitos antes indicados. Si la solicitud no reúne los requisitos, se solicitará al interesado que subsane la falta o acompañe los antecedentes complementarios, en el plazo establecido en el artículo 31 de la ley N° 19.980 (5 días hábiles). Si así no lo hiciere, su</w:t>
      </w:r>
      <w:r>
        <w:rPr>
          <w:spacing w:val="-5"/>
        </w:rPr>
        <w:t xml:space="preserve"> </w:t>
      </w:r>
      <w:r>
        <w:t>petición</w:t>
      </w:r>
      <w:r w:rsidR="00E15F26" w:rsidRPr="00E15F26">
        <w:t xml:space="preserve"> </w:t>
      </w:r>
      <w:r w:rsidR="00E15F26">
        <w:t>se tendrá por desistida</w:t>
      </w:r>
      <w:r>
        <w:t>.</w:t>
      </w:r>
    </w:p>
    <w:p w14:paraId="27BF475B" w14:textId="77777777" w:rsidR="00884800" w:rsidRDefault="00884800" w:rsidP="00E15F26">
      <w:pPr>
        <w:pStyle w:val="Textoindependiente"/>
        <w:rPr>
          <w:sz w:val="26"/>
        </w:rPr>
      </w:pPr>
    </w:p>
    <w:p w14:paraId="46E17EF6" w14:textId="3FEB0F0D" w:rsidR="00884800" w:rsidRPr="00E15F26" w:rsidRDefault="005B7744" w:rsidP="00E15F26">
      <w:pPr>
        <w:pStyle w:val="Prrafodelista1"/>
        <w:numPr>
          <w:ilvl w:val="0"/>
          <w:numId w:val="2"/>
        </w:numPr>
        <w:tabs>
          <w:tab w:val="left" w:pos="669"/>
        </w:tabs>
        <w:spacing w:before="0"/>
        <w:rPr>
          <w:b/>
        </w:rPr>
      </w:pPr>
      <w:r>
        <w:rPr>
          <w:b/>
        </w:rPr>
        <w:t>Emisión de la r</w:t>
      </w:r>
      <w:r w:rsidR="00884800" w:rsidRPr="00E15F26">
        <w:rPr>
          <w:b/>
        </w:rPr>
        <w:t>esolución</w:t>
      </w:r>
    </w:p>
    <w:p w14:paraId="53D0799C" w14:textId="77777777" w:rsidR="00884800" w:rsidRDefault="00884800" w:rsidP="00E15F26">
      <w:pPr>
        <w:pStyle w:val="Textoindependiente"/>
      </w:pPr>
    </w:p>
    <w:p w14:paraId="7FD63221" w14:textId="005E1B55" w:rsidR="00884800" w:rsidRDefault="00884800" w:rsidP="00E15F26">
      <w:pPr>
        <w:pStyle w:val="Textoindependiente"/>
        <w:ind w:left="102" w:right="99"/>
        <w:jc w:val="both"/>
      </w:pPr>
      <w:r>
        <w:t xml:space="preserve">Una vez recibida la presentación y todos los antecedentes </w:t>
      </w:r>
      <w:r w:rsidR="00D47C33">
        <w:t>requ</w:t>
      </w:r>
      <w:r w:rsidR="005B7744">
        <w:t>eridos según el numeral anterior</w:t>
      </w:r>
      <w:r w:rsidR="005F021D">
        <w:t xml:space="preserve">, la </w:t>
      </w:r>
      <w:r w:rsidR="005F021D" w:rsidRPr="005F021D">
        <w:t>resolución respectiva ser</w:t>
      </w:r>
      <w:r w:rsidR="00D47C33">
        <w:t>á</w:t>
      </w:r>
      <w:r w:rsidR="005F021D" w:rsidRPr="005F021D">
        <w:t xml:space="preserve"> emitida</w:t>
      </w:r>
      <w:r w:rsidRPr="005F021D">
        <w:t xml:space="preserve"> </w:t>
      </w:r>
      <w:r w:rsidR="005F021D" w:rsidRPr="005F021D">
        <w:t>en un plazo no superior</w:t>
      </w:r>
      <w:r w:rsidR="005F021D">
        <w:t xml:space="preserve"> a 3</w:t>
      </w:r>
      <w:r w:rsidR="00E15F26">
        <w:t>0</w:t>
      </w:r>
      <w:r>
        <w:t xml:space="preserve"> días hábiles</w:t>
      </w:r>
      <w:r w:rsidR="00E15F26">
        <w:t>, ya</w:t>
      </w:r>
      <w:r>
        <w:t xml:space="preserve"> sea autorizando</w:t>
      </w:r>
      <w:r w:rsidR="00F07633">
        <w:t xml:space="preserve"> </w:t>
      </w:r>
      <w:r w:rsidR="005B7744">
        <w:t xml:space="preserve">o rechazando </w:t>
      </w:r>
      <w:r w:rsidR="003A1397">
        <w:t>la incorporación de la mercancía</w:t>
      </w:r>
      <w:r w:rsidR="005B7744">
        <w:t>, según corresponda</w:t>
      </w:r>
      <w:r>
        <w:t>.</w:t>
      </w:r>
    </w:p>
    <w:p w14:paraId="574E21BC" w14:textId="77777777" w:rsidR="00884800" w:rsidRDefault="00884800" w:rsidP="00E15F26">
      <w:pPr>
        <w:pStyle w:val="Textoindependiente"/>
        <w:ind w:left="102" w:right="99"/>
        <w:jc w:val="both"/>
      </w:pPr>
    </w:p>
    <w:p w14:paraId="7B72A973" w14:textId="606D79D5" w:rsidR="00884800" w:rsidRPr="00D355BA" w:rsidRDefault="00D355BA" w:rsidP="00D355BA">
      <w:pPr>
        <w:pStyle w:val="Prrafodelista1"/>
        <w:numPr>
          <w:ilvl w:val="0"/>
          <w:numId w:val="2"/>
        </w:numPr>
        <w:tabs>
          <w:tab w:val="left" w:pos="669"/>
        </w:tabs>
        <w:spacing w:before="0"/>
      </w:pPr>
      <w:r>
        <w:rPr>
          <w:b/>
        </w:rPr>
        <w:t>Modificación de las condiciones</w:t>
      </w:r>
    </w:p>
    <w:p w14:paraId="5A3C6578" w14:textId="77777777" w:rsidR="00D355BA" w:rsidRDefault="00D355BA" w:rsidP="00D355BA">
      <w:pPr>
        <w:pStyle w:val="Prrafodelista1"/>
        <w:tabs>
          <w:tab w:val="left" w:pos="669"/>
        </w:tabs>
        <w:spacing w:before="0"/>
        <w:ind w:firstLine="0"/>
      </w:pPr>
    </w:p>
    <w:p w14:paraId="78DB9B48" w14:textId="36A379BC" w:rsidR="00884800" w:rsidRDefault="00D47C33" w:rsidP="00E15F26">
      <w:pPr>
        <w:pStyle w:val="Textoindependiente"/>
        <w:ind w:left="102" w:right="102"/>
        <w:jc w:val="both"/>
      </w:pPr>
      <w:r>
        <w:t>Cualquier</w:t>
      </w:r>
      <w:r w:rsidR="00884800">
        <w:t xml:space="preserve"> modificación que se produzca a los términos y condiciones </w:t>
      </w:r>
      <w:r w:rsidR="00D355BA">
        <w:t>que sirvieron de base para la emisión de la resolución</w:t>
      </w:r>
      <w:r w:rsidR="00884800">
        <w:t xml:space="preserve">, </w:t>
      </w:r>
      <w:r>
        <w:t xml:space="preserve">se deberá informar al Director Nacional de Aduanas, </w:t>
      </w:r>
      <w:r w:rsidR="00884800">
        <w:t xml:space="preserve">debiendo acompañar los antecedentes que den cuenta de </w:t>
      </w:r>
      <w:proofErr w:type="gramStart"/>
      <w:r w:rsidR="00884800">
        <w:t>la misma</w:t>
      </w:r>
      <w:proofErr w:type="gramEnd"/>
      <w:r w:rsidR="00884800">
        <w:t>, en un plazo no superior a 15 días hábiles desde la fecha en que se formalice el cambio.</w:t>
      </w:r>
    </w:p>
    <w:p w14:paraId="3881EA34" w14:textId="77777777" w:rsidR="00D355BA" w:rsidRDefault="00D355BA" w:rsidP="00E15F26">
      <w:pPr>
        <w:pStyle w:val="Textoindependiente"/>
        <w:ind w:left="102" w:right="102"/>
        <w:jc w:val="both"/>
      </w:pPr>
    </w:p>
    <w:p w14:paraId="726229BF" w14:textId="25B4676A" w:rsidR="00D355BA" w:rsidRPr="00D355BA" w:rsidRDefault="00D355BA" w:rsidP="00D355BA">
      <w:pPr>
        <w:pStyle w:val="Prrafodelista1"/>
        <w:numPr>
          <w:ilvl w:val="0"/>
          <w:numId w:val="2"/>
        </w:numPr>
        <w:tabs>
          <w:tab w:val="left" w:pos="669"/>
        </w:tabs>
        <w:spacing w:before="0"/>
      </w:pPr>
      <w:r>
        <w:rPr>
          <w:b/>
        </w:rPr>
        <w:t>Del control y la fiscalización</w:t>
      </w:r>
    </w:p>
    <w:p w14:paraId="1BE118C3" w14:textId="77777777" w:rsidR="00884800" w:rsidRDefault="00884800" w:rsidP="00E15F26">
      <w:pPr>
        <w:pStyle w:val="Textoindependiente"/>
        <w:rPr>
          <w:sz w:val="18"/>
        </w:rPr>
      </w:pPr>
    </w:p>
    <w:p w14:paraId="257FB135" w14:textId="6C28B77D" w:rsidR="00884800" w:rsidRDefault="00D87880" w:rsidP="00E15F26">
      <w:pPr>
        <w:pStyle w:val="Textoindependiente"/>
        <w:ind w:left="102" w:right="102"/>
        <w:jc w:val="both"/>
        <w:rPr>
          <w:sz w:val="26"/>
        </w:rPr>
      </w:pPr>
      <w:r>
        <w:t>E</w:t>
      </w:r>
      <w:r w:rsidR="00884800">
        <w:t>l Servicio Nacional de Aduanas podrá solicitar en cualquier momento</w:t>
      </w:r>
      <w:r w:rsidR="00D70F4F">
        <w:t xml:space="preserve"> </w:t>
      </w:r>
      <w:r w:rsidR="00884800">
        <w:t>los antecedentes que respalden el uso de precios provisorios, para los fines de control y fiscalización que correspondan.</w:t>
      </w:r>
    </w:p>
    <w:p w14:paraId="43797619" w14:textId="77777777" w:rsidR="00D355BA" w:rsidRDefault="00D355BA" w:rsidP="00E15F26">
      <w:pPr>
        <w:pStyle w:val="Textoindependiente"/>
        <w:rPr>
          <w:sz w:val="26"/>
        </w:rPr>
      </w:pPr>
    </w:p>
    <w:p w14:paraId="481A82AA" w14:textId="1A32EB1A" w:rsidR="00884800" w:rsidRPr="00E15F26" w:rsidRDefault="00D87880" w:rsidP="00E15F26">
      <w:pPr>
        <w:pStyle w:val="Prrafodelista1"/>
        <w:numPr>
          <w:ilvl w:val="0"/>
          <w:numId w:val="2"/>
        </w:numPr>
        <w:tabs>
          <w:tab w:val="left" w:pos="668"/>
          <w:tab w:val="left" w:pos="669"/>
        </w:tabs>
        <w:spacing w:before="0"/>
        <w:rPr>
          <w:b/>
          <w:sz w:val="21"/>
        </w:rPr>
      </w:pPr>
      <w:r>
        <w:rPr>
          <w:b/>
        </w:rPr>
        <w:t>De la</w:t>
      </w:r>
      <w:r w:rsidR="00884800" w:rsidRPr="00E15F26">
        <w:rPr>
          <w:b/>
          <w:spacing w:val="-2"/>
        </w:rPr>
        <w:t xml:space="preserve"> </w:t>
      </w:r>
      <w:r>
        <w:rPr>
          <w:b/>
        </w:rPr>
        <w:t>notificación</w:t>
      </w:r>
    </w:p>
    <w:p w14:paraId="3C139C0F" w14:textId="77777777" w:rsidR="00884800" w:rsidRDefault="00884800" w:rsidP="00E15F26">
      <w:pPr>
        <w:pStyle w:val="Textoindependiente"/>
        <w:rPr>
          <w:sz w:val="21"/>
        </w:rPr>
      </w:pPr>
    </w:p>
    <w:p w14:paraId="5756BF4B" w14:textId="4800BA67" w:rsidR="00884800" w:rsidRDefault="00D87880" w:rsidP="00E15F26">
      <w:pPr>
        <w:pStyle w:val="Textoindependiente"/>
        <w:ind w:left="102" w:right="102"/>
        <w:jc w:val="both"/>
      </w:pPr>
      <w:r>
        <w:t xml:space="preserve">La notificación </w:t>
      </w:r>
      <w:r w:rsidR="00884800">
        <w:t xml:space="preserve">de la </w:t>
      </w:r>
      <w:r>
        <w:t>resolución a que se refiere el numeral 3 anterior, se regirá</w:t>
      </w:r>
      <w:r w:rsidR="00884800">
        <w:t xml:space="preserve"> por las disposiciones contenidas en los artículos 45, 46 y 47 de la ley N° 19.880 que establece Bases de los Procedimientos Administrativos que rigen los Actos de los Órganos de la Administración del</w:t>
      </w:r>
      <w:r w:rsidR="00884800">
        <w:rPr>
          <w:spacing w:val="-8"/>
        </w:rPr>
        <w:t xml:space="preserve"> </w:t>
      </w:r>
      <w:r w:rsidR="00884800">
        <w:t>Estado.</w:t>
      </w:r>
    </w:p>
    <w:p w14:paraId="35F583E7" w14:textId="77777777" w:rsidR="00884800" w:rsidRDefault="00884800" w:rsidP="00E15F26">
      <w:pPr>
        <w:pStyle w:val="Textoindependiente"/>
        <w:ind w:left="102" w:right="102"/>
        <w:jc w:val="both"/>
      </w:pPr>
    </w:p>
    <w:p w14:paraId="26D1FEB9" w14:textId="35FA7C7E" w:rsidR="00884800" w:rsidRDefault="00D87880" w:rsidP="00E15F26">
      <w:pPr>
        <w:pStyle w:val="Textoindependiente"/>
        <w:ind w:left="102" w:right="102"/>
        <w:jc w:val="both"/>
      </w:pPr>
      <w:r>
        <w:t>El solicitante</w:t>
      </w:r>
      <w:r w:rsidR="00884800">
        <w:t xml:space="preserve"> podrá </w:t>
      </w:r>
      <w:r>
        <w:t>requeri</w:t>
      </w:r>
      <w:r w:rsidR="00884800">
        <w:t>r expresamente la notificación a través de correo electrónico.</w:t>
      </w:r>
    </w:p>
    <w:p w14:paraId="33EA0A00" w14:textId="77777777" w:rsidR="00884800" w:rsidRPr="00E15F26" w:rsidRDefault="00884800" w:rsidP="00E15F26">
      <w:pPr>
        <w:pStyle w:val="Prrafodelista1"/>
        <w:numPr>
          <w:ilvl w:val="0"/>
          <w:numId w:val="2"/>
        </w:numPr>
        <w:tabs>
          <w:tab w:val="left" w:pos="668"/>
          <w:tab w:val="left" w:pos="669"/>
        </w:tabs>
        <w:spacing w:before="0"/>
        <w:rPr>
          <w:b/>
          <w:sz w:val="21"/>
        </w:rPr>
      </w:pPr>
      <w:r w:rsidRPr="00E15F26">
        <w:rPr>
          <w:b/>
        </w:rPr>
        <w:lastRenderedPageBreak/>
        <w:t>De los recursos o</w:t>
      </w:r>
      <w:r w:rsidRPr="00E15F26">
        <w:rPr>
          <w:b/>
          <w:spacing w:val="-3"/>
        </w:rPr>
        <w:t xml:space="preserve"> </w:t>
      </w:r>
      <w:r w:rsidRPr="00E15F26">
        <w:rPr>
          <w:b/>
        </w:rPr>
        <w:t>reclamaciones</w:t>
      </w:r>
    </w:p>
    <w:p w14:paraId="348E601E" w14:textId="77777777" w:rsidR="00884800" w:rsidRDefault="00884800" w:rsidP="00E15F26">
      <w:pPr>
        <w:pStyle w:val="Textoindependiente"/>
        <w:rPr>
          <w:sz w:val="21"/>
        </w:rPr>
      </w:pPr>
    </w:p>
    <w:p w14:paraId="01C57824" w14:textId="5EFBED17" w:rsidR="00884800" w:rsidRDefault="00884800" w:rsidP="00D87880">
      <w:pPr>
        <w:pStyle w:val="Textoindependiente"/>
        <w:ind w:left="102" w:right="106"/>
        <w:jc w:val="both"/>
      </w:pPr>
      <w:r>
        <w:t>En contra de las resoluciones que se dicten con ocasión del procedimiento regulado en la presente instrucción, procederán los recursos o reclamaciones contempladas en el ordenamiento jurídico vigente.</w:t>
      </w:r>
    </w:p>
    <w:sectPr w:rsidR="00884800">
      <w:headerReference w:type="default" r:id="rId7"/>
      <w:footerReference w:type="default" r:id="rId8"/>
      <w:pgSz w:w="12240" w:h="18720"/>
      <w:pgMar w:top="1900" w:right="1360" w:bottom="1000" w:left="1600" w:header="483" w:footer="808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A2AA" w14:textId="77777777" w:rsidR="00EA4196" w:rsidRDefault="00EA4196">
      <w:r>
        <w:separator/>
      </w:r>
    </w:p>
  </w:endnote>
  <w:endnote w:type="continuationSeparator" w:id="0">
    <w:p w14:paraId="2E696A1A" w14:textId="77777777" w:rsidR="00EA4196" w:rsidRDefault="00EA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7A06" w14:textId="4BE9F909" w:rsidR="00884800" w:rsidRDefault="002F6723">
    <w:pPr>
      <w:pStyle w:val="Textoindependiente"/>
      <w:spacing w:line="12" w:lineRule="auto"/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35643666" wp14:editId="24F7A7B8">
          <wp:simplePos x="0" y="0"/>
          <wp:positionH relativeFrom="page">
            <wp:posOffset>359410</wp:posOffset>
          </wp:positionH>
          <wp:positionV relativeFrom="page">
            <wp:posOffset>11272520</wp:posOffset>
          </wp:positionV>
          <wp:extent cx="646430" cy="100965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100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979C4" w14:textId="77777777" w:rsidR="00EA4196" w:rsidRDefault="00EA4196">
      <w:r>
        <w:separator/>
      </w:r>
    </w:p>
  </w:footnote>
  <w:footnote w:type="continuationSeparator" w:id="0">
    <w:p w14:paraId="5197E954" w14:textId="77777777" w:rsidR="00EA4196" w:rsidRDefault="00EA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E0EC" w14:textId="6B098148" w:rsidR="00884800" w:rsidRDefault="002F6723">
    <w:pPr>
      <w:pStyle w:val="Textoindependiente"/>
      <w:spacing w:line="12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6ACF7FBC" wp14:editId="6860F7A6">
          <wp:simplePos x="0" y="0"/>
          <wp:positionH relativeFrom="page">
            <wp:posOffset>372745</wp:posOffset>
          </wp:positionH>
          <wp:positionV relativeFrom="page">
            <wp:posOffset>306705</wp:posOffset>
          </wp:positionV>
          <wp:extent cx="594360" cy="8991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99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02" w:hanging="567"/>
      </w:pPr>
      <w:rPr>
        <w:rFonts w:eastAsia="Tahoma" w:cs="Tahoma"/>
        <w:spacing w:val="-1"/>
        <w:w w:val="100"/>
        <w:sz w:val="22"/>
        <w:szCs w:val="22"/>
        <w:lang w:val="es-CL" w:eastAsia="es-CL" w:bidi="es-C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18" w:hanging="567"/>
      </w:pPr>
      <w:rPr>
        <w:rFonts w:ascii="Symbol" w:hAnsi="Symbol"/>
        <w:lang w:val="es-CL" w:eastAsia="es-CL" w:bidi="es-C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6" w:hanging="567"/>
      </w:pPr>
      <w:rPr>
        <w:rFonts w:ascii="Symbol" w:hAnsi="Symbol"/>
        <w:lang w:val="es-CL" w:eastAsia="es-CL" w:bidi="es-C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4" w:hanging="567"/>
      </w:pPr>
      <w:rPr>
        <w:rFonts w:ascii="Symbol" w:hAnsi="Symbol"/>
        <w:lang w:val="es-CL" w:eastAsia="es-CL" w:bidi="es-C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72" w:hanging="567"/>
      </w:pPr>
      <w:rPr>
        <w:rFonts w:ascii="Symbol" w:hAnsi="Symbol"/>
        <w:lang w:val="es-CL" w:eastAsia="es-CL" w:bidi="es-C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90" w:hanging="567"/>
      </w:pPr>
      <w:rPr>
        <w:rFonts w:ascii="Symbol" w:hAnsi="Symbol"/>
        <w:lang w:val="es-CL" w:eastAsia="es-CL" w:bidi="es-C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8" w:hanging="567"/>
      </w:pPr>
      <w:rPr>
        <w:rFonts w:ascii="Symbol" w:hAnsi="Symbol"/>
        <w:lang w:val="es-CL" w:eastAsia="es-CL" w:bidi="es-C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26" w:hanging="567"/>
      </w:pPr>
      <w:rPr>
        <w:rFonts w:ascii="Symbol" w:hAnsi="Symbol"/>
        <w:lang w:val="es-CL" w:eastAsia="es-CL" w:bidi="es-C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44" w:hanging="567"/>
      </w:pPr>
      <w:rPr>
        <w:rFonts w:ascii="Symbol" w:hAnsi="Symbol"/>
        <w:lang w:val="es-CL" w:eastAsia="es-CL" w:bidi="es-CL"/>
      </w:rPr>
    </w:lvl>
  </w:abstractNum>
  <w:abstractNum w:abstractNumId="1" w15:restartNumberingAfterBreak="0">
    <w:nsid w:val="00000002"/>
    <w:multiLevelType w:val="multilevel"/>
    <w:tmpl w:val="25FC972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68" w:hanging="567"/>
      </w:pPr>
      <w:rPr>
        <w:rFonts w:eastAsia="Tahoma" w:cs="Tahoma"/>
        <w:b/>
        <w:spacing w:val="-1"/>
        <w:w w:val="100"/>
        <w:sz w:val="22"/>
        <w:szCs w:val="22"/>
        <w:lang w:val="es-CL" w:eastAsia="es-CL" w:bidi="es-C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22" w:hanging="567"/>
      </w:pPr>
      <w:rPr>
        <w:rFonts w:ascii="Symbol" w:hAnsi="Symbol"/>
        <w:lang w:val="es-CL" w:eastAsia="es-CL" w:bidi="es-C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84" w:hanging="567"/>
      </w:pPr>
      <w:rPr>
        <w:rFonts w:ascii="Symbol" w:hAnsi="Symbol"/>
        <w:lang w:val="es-CL" w:eastAsia="es-CL" w:bidi="es-C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6" w:hanging="567"/>
      </w:pPr>
      <w:rPr>
        <w:rFonts w:ascii="Symbol" w:hAnsi="Symbol"/>
        <w:lang w:val="es-CL" w:eastAsia="es-CL" w:bidi="es-C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08" w:hanging="567"/>
      </w:pPr>
      <w:rPr>
        <w:rFonts w:ascii="Symbol" w:hAnsi="Symbol"/>
        <w:lang w:val="es-CL" w:eastAsia="es-CL" w:bidi="es-C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70" w:hanging="567"/>
      </w:pPr>
      <w:rPr>
        <w:rFonts w:ascii="Symbol" w:hAnsi="Symbol"/>
        <w:lang w:val="es-CL" w:eastAsia="es-CL" w:bidi="es-C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567"/>
      </w:pPr>
      <w:rPr>
        <w:rFonts w:ascii="Symbol" w:hAnsi="Symbol"/>
        <w:lang w:val="es-CL" w:eastAsia="es-CL" w:bidi="es-C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94" w:hanging="567"/>
      </w:pPr>
      <w:rPr>
        <w:rFonts w:ascii="Symbol" w:hAnsi="Symbol"/>
        <w:lang w:val="es-CL" w:eastAsia="es-CL" w:bidi="es-C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6" w:hanging="567"/>
      </w:pPr>
      <w:rPr>
        <w:rFonts w:ascii="Symbol" w:hAnsi="Symbol"/>
        <w:lang w:val="es-CL" w:eastAsia="es-CL" w:bidi="es-C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EB"/>
    <w:rsid w:val="00030B11"/>
    <w:rsid w:val="000B48F8"/>
    <w:rsid w:val="000D2B77"/>
    <w:rsid w:val="00135BDE"/>
    <w:rsid w:val="00150A93"/>
    <w:rsid w:val="00196E85"/>
    <w:rsid w:val="001B4834"/>
    <w:rsid w:val="001E6223"/>
    <w:rsid w:val="0023664A"/>
    <w:rsid w:val="0023697B"/>
    <w:rsid w:val="00263970"/>
    <w:rsid w:val="00283544"/>
    <w:rsid w:val="00290293"/>
    <w:rsid w:val="002D0319"/>
    <w:rsid w:val="002F6723"/>
    <w:rsid w:val="00346B75"/>
    <w:rsid w:val="0036384E"/>
    <w:rsid w:val="00367E90"/>
    <w:rsid w:val="003709DD"/>
    <w:rsid w:val="00386117"/>
    <w:rsid w:val="003A1397"/>
    <w:rsid w:val="003C55C6"/>
    <w:rsid w:val="003D7D1C"/>
    <w:rsid w:val="00417C8B"/>
    <w:rsid w:val="00457429"/>
    <w:rsid w:val="00480C48"/>
    <w:rsid w:val="004842E6"/>
    <w:rsid w:val="004F126A"/>
    <w:rsid w:val="00517582"/>
    <w:rsid w:val="0053239E"/>
    <w:rsid w:val="005A6A8F"/>
    <w:rsid w:val="005B7744"/>
    <w:rsid w:val="005C0CB3"/>
    <w:rsid w:val="005F021D"/>
    <w:rsid w:val="00605FE8"/>
    <w:rsid w:val="006A2F6A"/>
    <w:rsid w:val="006D79EB"/>
    <w:rsid w:val="007110CE"/>
    <w:rsid w:val="00713B41"/>
    <w:rsid w:val="008108F8"/>
    <w:rsid w:val="00884800"/>
    <w:rsid w:val="008C4456"/>
    <w:rsid w:val="008F6EF0"/>
    <w:rsid w:val="009010ED"/>
    <w:rsid w:val="00905CC6"/>
    <w:rsid w:val="0096420C"/>
    <w:rsid w:val="00970209"/>
    <w:rsid w:val="00982BDE"/>
    <w:rsid w:val="00994615"/>
    <w:rsid w:val="00A17F71"/>
    <w:rsid w:val="00A77A42"/>
    <w:rsid w:val="00AC0CDA"/>
    <w:rsid w:val="00AC2746"/>
    <w:rsid w:val="00AD02B1"/>
    <w:rsid w:val="00B57F30"/>
    <w:rsid w:val="00B77E98"/>
    <w:rsid w:val="00BA62D3"/>
    <w:rsid w:val="00BA763E"/>
    <w:rsid w:val="00BB53CD"/>
    <w:rsid w:val="00C85233"/>
    <w:rsid w:val="00D355BA"/>
    <w:rsid w:val="00D47C33"/>
    <w:rsid w:val="00D70F4F"/>
    <w:rsid w:val="00D87880"/>
    <w:rsid w:val="00D91949"/>
    <w:rsid w:val="00E15F26"/>
    <w:rsid w:val="00E26346"/>
    <w:rsid w:val="00E5687E"/>
    <w:rsid w:val="00EA4196"/>
    <w:rsid w:val="00EF5F53"/>
    <w:rsid w:val="00F07633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CA00D9"/>
  <w15:chartTrackingRefBased/>
  <w15:docId w15:val="{0610C3B9-77B2-4E7C-80CD-829976E3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eastAsia="Tahoma" w:hAnsi="Tahoma" w:cs="Tahoma"/>
      <w:sz w:val="22"/>
      <w:szCs w:val="22"/>
      <w:lang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Tahoma" w:eastAsia="Tahoma" w:hAnsi="Tahoma" w:cs="Tahoma"/>
      <w:sz w:val="20"/>
      <w:szCs w:val="20"/>
      <w:lang w:val="es-CL" w:eastAsia="es-CL" w:bidi="es-CL"/>
    </w:rPr>
  </w:style>
  <w:style w:type="character" w:customStyle="1" w:styleId="AsuntodelcomentarioCar">
    <w:name w:val="Asunto del comentario Car"/>
    <w:rPr>
      <w:rFonts w:ascii="Tahoma" w:eastAsia="Tahoma" w:hAnsi="Tahoma" w:cs="Tahoma"/>
      <w:b/>
      <w:bCs/>
      <w:sz w:val="20"/>
      <w:szCs w:val="20"/>
      <w:lang w:val="es-CL" w:eastAsia="es-CL" w:bidi="es-CL"/>
    </w:rPr>
  </w:style>
  <w:style w:type="character" w:customStyle="1" w:styleId="TextodegloboCar">
    <w:name w:val="Texto de globo Car"/>
    <w:rPr>
      <w:rFonts w:ascii="Segoe UI" w:eastAsia="Tahoma" w:hAnsi="Segoe UI" w:cs="Segoe UI"/>
      <w:sz w:val="18"/>
      <w:szCs w:val="18"/>
      <w:lang w:val="es-CL" w:eastAsia="es-CL" w:bidi="es-CL"/>
    </w:rPr>
  </w:style>
  <w:style w:type="character" w:customStyle="1" w:styleId="ListLabel1">
    <w:name w:val="ListLabel 1"/>
    <w:rPr>
      <w:rFonts w:eastAsia="Tahoma" w:cs="Tahoma"/>
      <w:spacing w:val="-1"/>
      <w:w w:val="100"/>
      <w:sz w:val="22"/>
      <w:szCs w:val="22"/>
      <w:lang w:val="es-CL" w:eastAsia="es-CL" w:bidi="es-CL"/>
    </w:rPr>
  </w:style>
  <w:style w:type="character" w:customStyle="1" w:styleId="ListLabel2">
    <w:name w:val="ListLabel 2"/>
    <w:rPr>
      <w:lang w:val="es-CL" w:eastAsia="es-CL" w:bidi="es-C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spacing w:before="218"/>
      <w:ind w:left="668" w:hanging="567"/>
      <w:jc w:val="both"/>
    </w:pPr>
  </w:style>
  <w:style w:type="paragraph" w:customStyle="1" w:styleId="TableParagraph">
    <w:name w:val="Table Paragraph"/>
    <w:basedOn w:val="Normal"/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6D79EB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link w:val="Textodeglobo"/>
    <w:uiPriority w:val="99"/>
    <w:semiHidden/>
    <w:rsid w:val="006D79EB"/>
    <w:rPr>
      <w:rFonts w:ascii="Segoe UI" w:eastAsia="Tahoma" w:hAnsi="Segoe UI" w:cs="Segoe UI"/>
      <w:sz w:val="18"/>
      <w:szCs w:val="18"/>
      <w:lang w:bidi="es-CL"/>
    </w:rPr>
  </w:style>
  <w:style w:type="character" w:styleId="Refdecomentario">
    <w:name w:val="annotation reference"/>
    <w:uiPriority w:val="99"/>
    <w:semiHidden/>
    <w:unhideWhenUsed/>
    <w:rsid w:val="00B57F30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57F30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B57F30"/>
    <w:rPr>
      <w:rFonts w:ascii="Tahoma" w:eastAsia="Tahoma" w:hAnsi="Tahoma" w:cs="Tahoma"/>
      <w:lang w:bidi="es-CL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57F30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semiHidden/>
    <w:rsid w:val="00B57F30"/>
    <w:rPr>
      <w:rFonts w:ascii="Tahoma" w:eastAsia="Tahoma" w:hAnsi="Tahoma" w:cs="Tahoma"/>
      <w:b/>
      <w:bCs/>
      <w:lang w:bidi="es-CL"/>
    </w:rPr>
  </w:style>
  <w:style w:type="paragraph" w:styleId="Prrafodelista">
    <w:name w:val="List Paragraph"/>
    <w:basedOn w:val="Normal"/>
    <w:uiPriority w:val="34"/>
    <w:qFormat/>
    <w:rsid w:val="00D70F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Nelson San Martín</cp:lastModifiedBy>
  <cp:revision>3</cp:revision>
  <cp:lastPrinted>1900-01-01T03:00:00Z</cp:lastPrinted>
  <dcterms:created xsi:type="dcterms:W3CDTF">2021-03-12T19:02:00Z</dcterms:created>
  <dcterms:modified xsi:type="dcterms:W3CDTF">2021-03-12T19:02:00Z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