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3A3" w:rsidRDefault="00B164FB" w:rsidP="00850BFA">
      <w:pPr>
        <w:pStyle w:val="Ttulo2"/>
        <w:spacing w:before="0"/>
        <w:rPr>
          <w:rFonts w:ascii="Tahoma" w:eastAsiaTheme="minorHAnsi" w:hAnsi="Tahoma" w:cs="Tahoma"/>
          <w:b/>
          <w:color w:val="auto"/>
          <w:sz w:val="22"/>
          <w:szCs w:val="22"/>
        </w:rPr>
      </w:pPr>
      <w:r w:rsidRPr="00ED2FA0">
        <w:rPr>
          <w:rFonts w:ascii="Tahoma" w:eastAsiaTheme="minorHAnsi" w:hAnsi="Tahoma" w:cs="Tahoma"/>
          <w:b/>
          <w:color w:val="auto"/>
          <w:sz w:val="22"/>
          <w:szCs w:val="22"/>
        </w:rPr>
        <w:t>S</w:t>
      </w:r>
      <w:r w:rsidR="004C13A3">
        <w:rPr>
          <w:rFonts w:ascii="Tahoma" w:eastAsiaTheme="minorHAnsi" w:hAnsi="Tahoma" w:cs="Tahoma"/>
          <w:b/>
          <w:color w:val="auto"/>
          <w:sz w:val="22"/>
          <w:szCs w:val="22"/>
        </w:rPr>
        <w:t>EÑOR:</w:t>
      </w:r>
    </w:p>
    <w:p w:rsidR="00850BFA" w:rsidRPr="00F83835" w:rsidRDefault="00B164FB" w:rsidP="00F83835">
      <w:pPr>
        <w:spacing w:before="120" w:after="0"/>
      </w:pPr>
      <w:r w:rsidRPr="00ED2FA0">
        <w:rPr>
          <w:rFonts w:ascii="Tahoma" w:hAnsi="Tahoma" w:cs="Tahoma"/>
          <w:b/>
        </w:rPr>
        <w:t>HERNÁN TELLERÍA LONGHI</w:t>
      </w:r>
    </w:p>
    <w:p w:rsidR="000B40BB" w:rsidRPr="00ED2FA0" w:rsidRDefault="004C13A3" w:rsidP="00850BFA">
      <w:pPr>
        <w:pStyle w:val="Ttulo2"/>
        <w:spacing w:before="0"/>
        <w:rPr>
          <w:rFonts w:ascii="Tahoma" w:eastAsiaTheme="minorHAnsi" w:hAnsi="Tahoma" w:cs="Tahoma"/>
          <w:b/>
          <w:color w:val="auto"/>
          <w:sz w:val="22"/>
          <w:szCs w:val="22"/>
        </w:rPr>
      </w:pPr>
      <w:r w:rsidRPr="00ED2FA0">
        <w:rPr>
          <w:rFonts w:ascii="Tahoma" w:eastAsiaTheme="minorHAnsi" w:hAnsi="Tahoma" w:cs="Tahoma"/>
          <w:b/>
          <w:color w:val="auto"/>
          <w:sz w:val="22"/>
          <w:szCs w:val="22"/>
        </w:rPr>
        <w:t>AGENTE DE ADUANAS</w:t>
      </w:r>
    </w:p>
    <w:p w:rsidR="00084167" w:rsidRPr="00ED2FA0" w:rsidRDefault="00084167" w:rsidP="00084167">
      <w:pPr>
        <w:spacing w:line="276" w:lineRule="auto"/>
        <w:jc w:val="both"/>
        <w:rPr>
          <w:rFonts w:ascii="Tahoma" w:hAnsi="Tahoma" w:cs="Tahoma"/>
        </w:rPr>
      </w:pPr>
    </w:p>
    <w:p w:rsidR="00B164FB" w:rsidRDefault="005F0BC9" w:rsidP="000B40B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Junto con saludar y agradecer </w:t>
      </w:r>
      <w:r w:rsidR="00B164FB" w:rsidRPr="00B164FB">
        <w:rPr>
          <w:rFonts w:ascii="Tahoma" w:hAnsi="Tahoma" w:cs="Tahoma"/>
        </w:rPr>
        <w:t xml:space="preserve">sus comentarios al proyecto de Resolución, los que sin duda </w:t>
      </w:r>
      <w:r w:rsidR="00B164FB">
        <w:rPr>
          <w:rFonts w:ascii="Tahoma" w:hAnsi="Tahoma" w:cs="Tahoma"/>
        </w:rPr>
        <w:t>representan un</w:t>
      </w:r>
      <w:r w:rsidR="00B164FB" w:rsidRPr="00B164FB">
        <w:rPr>
          <w:rFonts w:ascii="Tahoma" w:hAnsi="Tahoma" w:cs="Tahoma"/>
        </w:rPr>
        <w:t xml:space="preserve"> aporte y demuestran su interés </w:t>
      </w:r>
      <w:r w:rsidR="00B164FB">
        <w:rPr>
          <w:rFonts w:ascii="Tahoma" w:hAnsi="Tahoma" w:cs="Tahoma"/>
        </w:rPr>
        <w:t xml:space="preserve">en las iniciativas </w:t>
      </w:r>
      <w:r>
        <w:rPr>
          <w:rFonts w:ascii="Tahoma" w:hAnsi="Tahoma" w:cs="Tahoma"/>
        </w:rPr>
        <w:t>de este Servicio</w:t>
      </w:r>
      <w:r w:rsidR="00B164FB">
        <w:rPr>
          <w:rFonts w:ascii="Tahoma" w:hAnsi="Tahoma" w:cs="Tahoma"/>
        </w:rPr>
        <w:t>.</w:t>
      </w:r>
    </w:p>
    <w:p w:rsidR="000B40BB" w:rsidRPr="00ED2FA0" w:rsidRDefault="000B40BB" w:rsidP="000B40BB">
      <w:pPr>
        <w:jc w:val="both"/>
        <w:rPr>
          <w:rFonts w:ascii="Tahoma" w:hAnsi="Tahoma" w:cs="Tahoma"/>
        </w:rPr>
      </w:pPr>
      <w:r w:rsidRPr="00ED2FA0">
        <w:rPr>
          <w:rFonts w:ascii="Tahoma" w:hAnsi="Tahoma" w:cs="Tahoma"/>
        </w:rPr>
        <w:t xml:space="preserve">En relación a </w:t>
      </w:r>
      <w:r w:rsidR="00B74878">
        <w:rPr>
          <w:rFonts w:ascii="Tahoma" w:hAnsi="Tahoma" w:cs="Tahoma"/>
        </w:rPr>
        <w:t>sus</w:t>
      </w:r>
      <w:r w:rsidR="00B74878" w:rsidRPr="00ED2FA0">
        <w:rPr>
          <w:rFonts w:ascii="Tahoma" w:hAnsi="Tahoma" w:cs="Tahoma"/>
        </w:rPr>
        <w:t xml:space="preserve"> </w:t>
      </w:r>
      <w:r w:rsidRPr="00ED2FA0">
        <w:rPr>
          <w:rFonts w:ascii="Tahoma" w:hAnsi="Tahoma" w:cs="Tahoma"/>
        </w:rPr>
        <w:t>observaciones formuladas, informamos lo siguiente:</w:t>
      </w:r>
    </w:p>
    <w:p w:rsidR="00817F3D" w:rsidRDefault="00DB3180" w:rsidP="00F8383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 w:rsidRPr="00F83835">
        <w:rPr>
          <w:rFonts w:ascii="Tahoma" w:hAnsi="Tahoma" w:cs="Tahoma"/>
        </w:rPr>
        <w:t xml:space="preserve">Respecto a </w:t>
      </w:r>
      <w:r w:rsidR="004C13A3">
        <w:rPr>
          <w:rFonts w:ascii="Tahoma" w:hAnsi="Tahoma" w:cs="Tahoma"/>
        </w:rPr>
        <w:t xml:space="preserve">su </w:t>
      </w:r>
      <w:r w:rsidR="004C13A3" w:rsidRPr="00F83835">
        <w:rPr>
          <w:rFonts w:ascii="Tahoma" w:hAnsi="Tahoma" w:cs="Tahoma"/>
          <w:b/>
          <w:bCs/>
        </w:rPr>
        <w:t>comentario N° 1</w:t>
      </w:r>
      <w:r w:rsidR="004C13A3">
        <w:rPr>
          <w:rFonts w:ascii="Tahoma" w:hAnsi="Tahoma" w:cs="Tahoma"/>
        </w:rPr>
        <w:t xml:space="preserve">, relativo a lo </w:t>
      </w:r>
      <w:r w:rsidRPr="00F83835">
        <w:rPr>
          <w:rFonts w:ascii="Tahoma" w:hAnsi="Tahoma" w:cs="Tahoma"/>
        </w:rPr>
        <w:t xml:space="preserve">señalado en </w:t>
      </w:r>
      <w:r w:rsidR="00155E42" w:rsidRPr="00F83835">
        <w:rPr>
          <w:rFonts w:ascii="Tahoma" w:hAnsi="Tahoma" w:cs="Tahoma"/>
        </w:rPr>
        <w:t xml:space="preserve">el </w:t>
      </w:r>
      <w:r w:rsidR="00155E42" w:rsidRPr="00F83835">
        <w:rPr>
          <w:rFonts w:ascii="Tahoma" w:hAnsi="Tahoma" w:cs="Tahoma"/>
          <w:b/>
          <w:bCs/>
        </w:rPr>
        <w:t>N° II del Apéndice 4</w:t>
      </w:r>
      <w:r w:rsidR="00155E42" w:rsidRPr="00F83835">
        <w:rPr>
          <w:rFonts w:ascii="Tahoma" w:hAnsi="Tahoma" w:cs="Tahoma"/>
        </w:rPr>
        <w:t xml:space="preserve"> del proyecto normativo</w:t>
      </w:r>
      <w:r w:rsidR="004C13A3">
        <w:rPr>
          <w:rFonts w:ascii="Tahoma" w:hAnsi="Tahoma" w:cs="Tahoma"/>
        </w:rPr>
        <w:t xml:space="preserve">, sobre </w:t>
      </w:r>
      <w:r w:rsidR="00155E42" w:rsidRPr="00F83835">
        <w:rPr>
          <w:rFonts w:ascii="Tahoma" w:hAnsi="Tahoma" w:cs="Tahoma"/>
        </w:rPr>
        <w:t xml:space="preserve"> </w:t>
      </w:r>
      <w:r w:rsidR="004C13A3">
        <w:rPr>
          <w:rFonts w:ascii="Tahoma" w:hAnsi="Tahoma" w:cs="Tahoma"/>
        </w:rPr>
        <w:t>el</w:t>
      </w:r>
      <w:r w:rsidR="00155E42" w:rsidRPr="00F83835">
        <w:rPr>
          <w:rFonts w:ascii="Tahoma" w:hAnsi="Tahoma" w:cs="Tahoma"/>
        </w:rPr>
        <w:t xml:space="preserve"> envío de antecedentes de respaldo de una SMDA, </w:t>
      </w:r>
      <w:r w:rsidR="004C13A3">
        <w:rPr>
          <w:rFonts w:ascii="Tahoma" w:hAnsi="Tahoma" w:cs="Tahoma"/>
        </w:rPr>
        <w:t>cabe señalar que si</w:t>
      </w:r>
      <w:r w:rsidR="00155E42" w:rsidRPr="00F83835">
        <w:rPr>
          <w:rFonts w:ascii="Tahoma" w:hAnsi="Tahoma" w:cs="Tahoma"/>
        </w:rPr>
        <w:t xml:space="preserve"> </w:t>
      </w:r>
      <w:r w:rsidR="008D23C6" w:rsidRPr="00F83835">
        <w:rPr>
          <w:rFonts w:ascii="Tahoma" w:hAnsi="Tahoma" w:cs="Tahoma"/>
        </w:rPr>
        <w:t>bien</w:t>
      </w:r>
      <w:r w:rsidR="00155E42" w:rsidRPr="00F83835">
        <w:rPr>
          <w:rFonts w:ascii="Tahoma" w:hAnsi="Tahoma" w:cs="Tahoma"/>
        </w:rPr>
        <w:t xml:space="preserve"> lo óptimo sería que los documentos pudi</w:t>
      </w:r>
      <w:r w:rsidR="008D23C6" w:rsidRPr="00F83835">
        <w:rPr>
          <w:rFonts w:ascii="Tahoma" w:hAnsi="Tahoma" w:cs="Tahoma"/>
        </w:rPr>
        <w:t>esen</w:t>
      </w:r>
      <w:r w:rsidR="00155E42" w:rsidRPr="00F83835">
        <w:rPr>
          <w:rFonts w:ascii="Tahoma" w:hAnsi="Tahoma" w:cs="Tahoma"/>
        </w:rPr>
        <w:t xml:space="preserve"> ser cargados en el </w:t>
      </w:r>
      <w:r w:rsidR="008D23C6" w:rsidRPr="00F83835">
        <w:rPr>
          <w:rFonts w:ascii="Tahoma" w:hAnsi="Tahoma" w:cs="Tahoma"/>
        </w:rPr>
        <w:t xml:space="preserve">momento de la presentación de la SMDA, </w:t>
      </w:r>
      <w:r w:rsidR="005F0BC9">
        <w:rPr>
          <w:rFonts w:ascii="Tahoma" w:hAnsi="Tahoma" w:cs="Tahoma"/>
        </w:rPr>
        <w:t xml:space="preserve">se debe hacer presente que </w:t>
      </w:r>
      <w:r w:rsidR="008D23C6" w:rsidRPr="00F83835">
        <w:rPr>
          <w:rFonts w:ascii="Tahoma" w:hAnsi="Tahoma" w:cs="Tahoma"/>
        </w:rPr>
        <w:t xml:space="preserve">en consideración </w:t>
      </w:r>
      <w:r w:rsidR="004C13A3">
        <w:rPr>
          <w:rFonts w:ascii="Tahoma" w:hAnsi="Tahoma" w:cs="Tahoma"/>
        </w:rPr>
        <w:t>a</w:t>
      </w:r>
      <w:r w:rsidR="008D23C6" w:rsidRPr="00F83835">
        <w:rPr>
          <w:rFonts w:ascii="Tahoma" w:hAnsi="Tahoma" w:cs="Tahoma"/>
        </w:rPr>
        <w:t>l enfoque de</w:t>
      </w:r>
      <w:r w:rsidR="005F0BC9">
        <w:rPr>
          <w:rFonts w:ascii="Tahoma" w:hAnsi="Tahoma" w:cs="Tahoma"/>
        </w:rPr>
        <w:t xml:space="preserve"> este</w:t>
      </w:r>
      <w:r w:rsidR="008D23C6" w:rsidRPr="00F83835">
        <w:rPr>
          <w:rFonts w:ascii="Tahoma" w:hAnsi="Tahoma" w:cs="Tahoma"/>
        </w:rPr>
        <w:t xml:space="preserve"> proyecto</w:t>
      </w:r>
      <w:r w:rsidR="004C13A3">
        <w:rPr>
          <w:rFonts w:ascii="Tahoma" w:hAnsi="Tahoma" w:cs="Tahoma"/>
        </w:rPr>
        <w:t xml:space="preserve">, actualmente </w:t>
      </w:r>
      <w:r w:rsidR="00155E42" w:rsidRPr="00F83835">
        <w:rPr>
          <w:rFonts w:ascii="Tahoma" w:hAnsi="Tahoma" w:cs="Tahoma"/>
        </w:rPr>
        <w:t>no es</w:t>
      </w:r>
      <w:r w:rsidR="008D23C6" w:rsidRPr="00F83835">
        <w:rPr>
          <w:rFonts w:ascii="Tahoma" w:hAnsi="Tahoma" w:cs="Tahoma"/>
        </w:rPr>
        <w:t xml:space="preserve"> posible </w:t>
      </w:r>
      <w:r w:rsidR="004C13A3">
        <w:rPr>
          <w:rFonts w:ascii="Tahoma" w:hAnsi="Tahoma" w:cs="Tahoma"/>
        </w:rPr>
        <w:t>acceder a su</w:t>
      </w:r>
      <w:r w:rsidR="008D23C6" w:rsidRPr="00F83835">
        <w:rPr>
          <w:rFonts w:ascii="Tahoma" w:hAnsi="Tahoma" w:cs="Tahoma"/>
        </w:rPr>
        <w:t xml:space="preserve"> suger</w:t>
      </w:r>
      <w:r w:rsidR="004C13A3">
        <w:rPr>
          <w:rFonts w:ascii="Tahoma" w:hAnsi="Tahoma" w:cs="Tahoma"/>
        </w:rPr>
        <w:t>encia, la que sin duda representaría una mejora indiscutible en la presentación de antecedentes</w:t>
      </w:r>
      <w:r w:rsidR="00F74BF3">
        <w:rPr>
          <w:rFonts w:ascii="Tahoma" w:hAnsi="Tahoma" w:cs="Tahoma"/>
        </w:rPr>
        <w:t xml:space="preserve">, y tal como es de su conocimiento, </w:t>
      </w:r>
      <w:r w:rsidR="00A27CE2">
        <w:rPr>
          <w:rFonts w:ascii="Tahoma" w:hAnsi="Tahoma" w:cs="Tahoma"/>
        </w:rPr>
        <w:t>la Resolución Exenta N°1179/2020, del Director Nacional de Aduanas, en su artículo 8 indica que los documentos que la respaldan pueden ser enviados vía correo electrónico</w:t>
      </w:r>
      <w:r w:rsidR="008D23C6" w:rsidRPr="00F83835">
        <w:rPr>
          <w:rFonts w:ascii="Tahoma" w:hAnsi="Tahoma" w:cs="Tahoma"/>
        </w:rPr>
        <w:t>.</w:t>
      </w:r>
    </w:p>
    <w:p w:rsidR="00A27CE2" w:rsidRPr="00F83835" w:rsidRDefault="00A27CE2" w:rsidP="00DA4D1F">
      <w:pPr>
        <w:pStyle w:val="Prrafodelista"/>
        <w:spacing w:line="276" w:lineRule="auto"/>
        <w:jc w:val="both"/>
        <w:rPr>
          <w:rFonts w:ascii="Tahoma" w:hAnsi="Tahoma" w:cs="Tahoma"/>
        </w:rPr>
      </w:pPr>
    </w:p>
    <w:p w:rsidR="00E37AD9" w:rsidRDefault="004C13A3" w:rsidP="00F83835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 cuanto a su </w:t>
      </w:r>
      <w:r w:rsidRPr="00F83835">
        <w:rPr>
          <w:rFonts w:ascii="Tahoma" w:hAnsi="Tahoma" w:cs="Tahoma"/>
          <w:b/>
          <w:bCs/>
        </w:rPr>
        <w:t>comentario N°2</w:t>
      </w:r>
      <w:r>
        <w:rPr>
          <w:rFonts w:ascii="Tahoma" w:hAnsi="Tahoma" w:cs="Tahoma"/>
        </w:rPr>
        <w:t>, respecto al</w:t>
      </w:r>
      <w:r w:rsidR="00155E42" w:rsidRPr="00F83835">
        <w:rPr>
          <w:rFonts w:ascii="Tahoma" w:hAnsi="Tahoma" w:cs="Tahoma"/>
        </w:rPr>
        <w:t xml:space="preserve"> </w:t>
      </w:r>
      <w:r w:rsidR="00155E42" w:rsidRPr="00F83835">
        <w:rPr>
          <w:rFonts w:ascii="Tahoma" w:hAnsi="Tahoma" w:cs="Tahoma"/>
          <w:b/>
          <w:bCs/>
        </w:rPr>
        <w:t xml:space="preserve">N° IV del Apéndice </w:t>
      </w:r>
      <w:r w:rsidR="00576EA5" w:rsidRPr="00F83835">
        <w:rPr>
          <w:rFonts w:ascii="Tahoma" w:hAnsi="Tahoma" w:cs="Tahoma"/>
          <w:b/>
          <w:bCs/>
        </w:rPr>
        <w:t xml:space="preserve">4 </w:t>
      </w:r>
      <w:r w:rsidR="00576EA5" w:rsidRPr="00F83835">
        <w:rPr>
          <w:rFonts w:ascii="Tahoma" w:hAnsi="Tahoma" w:cs="Tahoma"/>
        </w:rPr>
        <w:t>del proyecto normativo</w:t>
      </w:r>
      <w:r>
        <w:rPr>
          <w:rFonts w:ascii="Tahoma" w:hAnsi="Tahoma" w:cs="Tahoma"/>
        </w:rPr>
        <w:t>,</w:t>
      </w:r>
      <w:r w:rsidR="00576EA5" w:rsidRPr="00F83835">
        <w:rPr>
          <w:rFonts w:ascii="Tahoma" w:hAnsi="Tahoma" w:cs="Tahoma"/>
        </w:rPr>
        <w:t xml:space="preserve"> que </w:t>
      </w:r>
      <w:r w:rsidR="00155E42" w:rsidRPr="00F83835">
        <w:rPr>
          <w:rFonts w:ascii="Tahoma" w:hAnsi="Tahoma" w:cs="Tahoma"/>
        </w:rPr>
        <w:t xml:space="preserve">hace referencia a </w:t>
      </w:r>
      <w:r>
        <w:rPr>
          <w:rFonts w:ascii="Tahoma" w:hAnsi="Tahoma" w:cs="Tahoma"/>
        </w:rPr>
        <w:t xml:space="preserve">que </w:t>
      </w:r>
      <w:r w:rsidR="00155E42" w:rsidRPr="00F83835">
        <w:rPr>
          <w:rFonts w:ascii="Tahoma" w:hAnsi="Tahoma" w:cs="Tahoma"/>
        </w:rPr>
        <w:t xml:space="preserve">los rechazos en la aplicación </w:t>
      </w:r>
      <w:proofErr w:type="spellStart"/>
      <w:r w:rsidR="00155E42" w:rsidRPr="00F83835">
        <w:rPr>
          <w:rFonts w:ascii="Tahoma" w:hAnsi="Tahoma" w:cs="Tahoma"/>
        </w:rPr>
        <w:t>DespachadoresWeb</w:t>
      </w:r>
      <w:proofErr w:type="spellEnd"/>
      <w:r w:rsidR="00155E42" w:rsidRPr="00F83835">
        <w:rPr>
          <w:rFonts w:ascii="Tahoma" w:hAnsi="Tahoma" w:cs="Tahoma"/>
        </w:rPr>
        <w:t xml:space="preserve"> no indican su fecha, </w:t>
      </w:r>
      <w:r>
        <w:rPr>
          <w:rFonts w:ascii="Tahoma" w:hAnsi="Tahoma" w:cs="Tahoma"/>
        </w:rPr>
        <w:t>su sugerencia se considerará en la etapa de mantención de esta iniciativa</w:t>
      </w:r>
      <w:r w:rsidR="008D23C6" w:rsidRPr="00F83835">
        <w:rPr>
          <w:rFonts w:ascii="Tahoma" w:hAnsi="Tahoma" w:cs="Tahoma"/>
        </w:rPr>
        <w:t>.</w:t>
      </w:r>
    </w:p>
    <w:p w:rsidR="00A27CE2" w:rsidRPr="00DA4D1F" w:rsidRDefault="00A27CE2" w:rsidP="00DA4D1F">
      <w:pPr>
        <w:pStyle w:val="Prrafodelista"/>
        <w:rPr>
          <w:rFonts w:ascii="Tahoma" w:hAnsi="Tahoma" w:cs="Tahoma"/>
        </w:rPr>
      </w:pPr>
    </w:p>
    <w:p w:rsidR="00155E42" w:rsidRPr="00F83835" w:rsidRDefault="004C13A3" w:rsidP="00F83835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 relación a su </w:t>
      </w:r>
      <w:r w:rsidRPr="00F83835">
        <w:rPr>
          <w:rFonts w:ascii="Tahoma" w:hAnsi="Tahoma" w:cs="Tahoma"/>
          <w:b/>
          <w:bCs/>
        </w:rPr>
        <w:t>comentario N°3</w:t>
      </w:r>
      <w:r>
        <w:rPr>
          <w:rFonts w:ascii="Tahoma" w:hAnsi="Tahoma" w:cs="Tahoma"/>
        </w:rPr>
        <w:t>, relativa al</w:t>
      </w:r>
      <w:r w:rsidR="00576EA5" w:rsidRPr="00F83835">
        <w:rPr>
          <w:rFonts w:ascii="Tahoma" w:hAnsi="Tahoma" w:cs="Tahoma"/>
        </w:rPr>
        <w:t xml:space="preserve"> </w:t>
      </w:r>
      <w:r w:rsidR="00576EA5" w:rsidRPr="00F83835">
        <w:rPr>
          <w:rFonts w:ascii="Tahoma" w:hAnsi="Tahoma" w:cs="Tahoma"/>
          <w:b/>
          <w:bCs/>
        </w:rPr>
        <w:t>N° IX del Apéndice 4</w:t>
      </w:r>
      <w:r w:rsidR="00576EA5" w:rsidRPr="00F83835">
        <w:rPr>
          <w:rFonts w:ascii="Tahoma" w:hAnsi="Tahoma" w:cs="Tahoma"/>
        </w:rPr>
        <w:t xml:space="preserve">, que estima </w:t>
      </w:r>
      <w:r w:rsidR="00850BFA">
        <w:rPr>
          <w:rFonts w:ascii="Tahoma" w:hAnsi="Tahoma" w:cs="Tahoma"/>
        </w:rPr>
        <w:t>la pertinencia de</w:t>
      </w:r>
      <w:r w:rsidR="00576EA5" w:rsidRPr="00F83835">
        <w:rPr>
          <w:rFonts w:ascii="Tahoma" w:hAnsi="Tahoma" w:cs="Tahoma"/>
        </w:rPr>
        <w:t xml:space="preserve"> </w:t>
      </w:r>
      <w:r w:rsidR="00850BFA" w:rsidRPr="00F83835">
        <w:rPr>
          <w:rFonts w:ascii="Tahoma" w:hAnsi="Tahoma" w:cs="Tahoma"/>
        </w:rPr>
        <w:t>revis</w:t>
      </w:r>
      <w:r w:rsidR="00850BFA">
        <w:rPr>
          <w:rFonts w:ascii="Tahoma" w:hAnsi="Tahoma" w:cs="Tahoma"/>
        </w:rPr>
        <w:t>ar</w:t>
      </w:r>
      <w:r w:rsidR="00850BFA" w:rsidRPr="00F83835">
        <w:rPr>
          <w:rFonts w:ascii="Tahoma" w:hAnsi="Tahoma" w:cs="Tahoma"/>
        </w:rPr>
        <w:t xml:space="preserve"> </w:t>
      </w:r>
      <w:r w:rsidR="00850BFA">
        <w:rPr>
          <w:rFonts w:ascii="Tahoma" w:hAnsi="Tahoma" w:cs="Tahoma"/>
        </w:rPr>
        <w:t>junto al</w:t>
      </w:r>
      <w:r w:rsidR="00576EA5" w:rsidRPr="00F83835">
        <w:rPr>
          <w:rFonts w:ascii="Tahoma" w:hAnsi="Tahoma" w:cs="Tahoma"/>
        </w:rPr>
        <w:t xml:space="preserve"> SII </w:t>
      </w:r>
      <w:r w:rsidR="00850BFA">
        <w:rPr>
          <w:rFonts w:ascii="Tahoma" w:hAnsi="Tahoma" w:cs="Tahoma"/>
        </w:rPr>
        <w:t xml:space="preserve">la </w:t>
      </w:r>
      <w:r w:rsidR="00576EA5" w:rsidRPr="00F83835">
        <w:rPr>
          <w:rFonts w:ascii="Tahoma" w:hAnsi="Tahoma" w:cs="Tahoma"/>
        </w:rPr>
        <w:t xml:space="preserve">necesidad de mantener </w:t>
      </w:r>
      <w:r w:rsidR="005F0BC9">
        <w:rPr>
          <w:rFonts w:ascii="Tahoma" w:hAnsi="Tahoma" w:cs="Tahoma"/>
        </w:rPr>
        <w:t xml:space="preserve">determinados </w:t>
      </w:r>
      <w:r w:rsidR="00576EA5" w:rsidRPr="00F83835">
        <w:rPr>
          <w:rFonts w:ascii="Tahoma" w:hAnsi="Tahoma" w:cs="Tahoma"/>
        </w:rPr>
        <w:t>campos</w:t>
      </w:r>
      <w:r w:rsidR="005F0BC9">
        <w:rPr>
          <w:rFonts w:ascii="Tahoma" w:hAnsi="Tahoma" w:cs="Tahoma"/>
        </w:rPr>
        <w:t xml:space="preserve"> grises inactivos</w:t>
      </w:r>
      <w:r w:rsidR="00850BFA">
        <w:rPr>
          <w:rFonts w:ascii="Tahoma" w:hAnsi="Tahoma" w:cs="Tahoma"/>
        </w:rPr>
        <w:t>, se debe</w:t>
      </w:r>
      <w:r w:rsidR="008D23C6" w:rsidRPr="00F83835">
        <w:rPr>
          <w:rFonts w:ascii="Tahoma" w:hAnsi="Tahoma" w:cs="Tahoma"/>
        </w:rPr>
        <w:t xml:space="preserve"> señalar que</w:t>
      </w:r>
      <w:r w:rsidR="00850BFA">
        <w:rPr>
          <w:rFonts w:ascii="Tahoma" w:hAnsi="Tahoma" w:cs="Tahoma"/>
        </w:rPr>
        <w:t xml:space="preserve"> aquella materia es competencia del SII, no teniendo Aduanas injerencia a este respecto</w:t>
      </w:r>
      <w:r w:rsidR="005F0BC9">
        <w:rPr>
          <w:rFonts w:ascii="Tahoma" w:hAnsi="Tahoma" w:cs="Tahoma"/>
        </w:rPr>
        <w:t>, y solo limitándose a aplicar los dispuesto en ese ámbito por aquel Servicio</w:t>
      </w:r>
      <w:r w:rsidR="00850BFA">
        <w:rPr>
          <w:rFonts w:ascii="Tahoma" w:hAnsi="Tahoma" w:cs="Tahoma"/>
        </w:rPr>
        <w:t>.</w:t>
      </w:r>
    </w:p>
    <w:p w:rsidR="00155E42" w:rsidRPr="00ED2FA0" w:rsidRDefault="00155E42" w:rsidP="00E37AD9">
      <w:pPr>
        <w:rPr>
          <w:rFonts w:ascii="Tahoma" w:hAnsi="Tahoma" w:cs="Tahoma"/>
        </w:rPr>
      </w:pPr>
    </w:p>
    <w:p w:rsidR="005E4193" w:rsidRDefault="005E4193" w:rsidP="000F520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Saluda atentamente</w:t>
      </w:r>
      <w:r w:rsidR="000F5205">
        <w:rPr>
          <w:rFonts w:ascii="Tahoma" w:hAnsi="Tahoma" w:cs="Tahoma"/>
        </w:rPr>
        <w:t>,</w:t>
      </w:r>
    </w:p>
    <w:p w:rsidR="000F5205" w:rsidRPr="000F5205" w:rsidRDefault="000F5205" w:rsidP="000F520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0F5205" w:rsidRPr="000F5205" w:rsidRDefault="000F5205" w:rsidP="000F520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E37AD9" w:rsidRPr="00ED2FA0" w:rsidRDefault="000F5205" w:rsidP="00E37AD9">
      <w:pPr>
        <w:rPr>
          <w:rFonts w:ascii="Tahoma" w:hAnsi="Tahoma" w:cs="Tahoma"/>
        </w:rPr>
      </w:pPr>
      <w:r>
        <w:rPr>
          <w:rFonts w:ascii="Tahoma" w:hAnsi="Tahoma" w:cs="Tahoma"/>
        </w:rPr>
        <w:t>Servicio Nacional de Aduanas</w:t>
      </w:r>
    </w:p>
    <w:sectPr w:rsidR="00E37AD9" w:rsidRPr="00ED2FA0" w:rsidSect="000F3746">
      <w:pgSz w:w="12242" w:h="18722" w:code="19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B3CC8" w16cex:dateUtc="2021-06-09T17:12:00Z"/>
  <w16cex:commentExtensible w16cex:durableId="246C609F" w16cex:dateUtc="2021-06-10T13:57:00Z"/>
  <w16cex:commentExtensible w16cex:durableId="246C60A6" w16cex:dateUtc="2021-06-10T13:57:00Z"/>
  <w16cex:commentExtensible w16cex:durableId="246C5981" w16cex:dateUtc="2021-06-10T13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6397F0" w16cid:durableId="246B3CC8"/>
  <w16cid:commentId w16cid:paraId="3837FE91" w16cid:durableId="246B3C04"/>
  <w16cid:commentId w16cid:paraId="01149C46" w16cid:durableId="246B3C05"/>
  <w16cid:commentId w16cid:paraId="781C9AF0" w16cid:durableId="246B3C06"/>
  <w16cid:commentId w16cid:paraId="6620B749" w16cid:durableId="246C609F"/>
  <w16cid:commentId w16cid:paraId="7461BFE6" w16cid:durableId="246C60A6"/>
  <w16cid:commentId w16cid:paraId="4F09AF46" w16cid:durableId="246C598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67A06"/>
    <w:multiLevelType w:val="hybridMultilevel"/>
    <w:tmpl w:val="1A2460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A2CD1"/>
    <w:multiLevelType w:val="hybridMultilevel"/>
    <w:tmpl w:val="3322F6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C4EDD"/>
    <w:multiLevelType w:val="hybridMultilevel"/>
    <w:tmpl w:val="6C3232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E552D"/>
    <w:multiLevelType w:val="hybridMultilevel"/>
    <w:tmpl w:val="AC2456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8E"/>
    <w:rsid w:val="00084167"/>
    <w:rsid w:val="000A243A"/>
    <w:rsid w:val="000B40BB"/>
    <w:rsid w:val="000D2972"/>
    <w:rsid w:val="000D67E7"/>
    <w:rsid w:val="000F3746"/>
    <w:rsid w:val="000F5205"/>
    <w:rsid w:val="00155E42"/>
    <w:rsid w:val="001703BD"/>
    <w:rsid w:val="00195512"/>
    <w:rsid w:val="001A20CE"/>
    <w:rsid w:val="001C3C63"/>
    <w:rsid w:val="00242A63"/>
    <w:rsid w:val="002A2113"/>
    <w:rsid w:val="002E10E9"/>
    <w:rsid w:val="002E5FCC"/>
    <w:rsid w:val="002F44B7"/>
    <w:rsid w:val="00323C70"/>
    <w:rsid w:val="00355044"/>
    <w:rsid w:val="00362653"/>
    <w:rsid w:val="003A6FAB"/>
    <w:rsid w:val="003C1323"/>
    <w:rsid w:val="003C4B5E"/>
    <w:rsid w:val="003C5B4F"/>
    <w:rsid w:val="003D51DC"/>
    <w:rsid w:val="00440289"/>
    <w:rsid w:val="004702BE"/>
    <w:rsid w:val="004C13A3"/>
    <w:rsid w:val="005738CF"/>
    <w:rsid w:val="00576EA5"/>
    <w:rsid w:val="00591319"/>
    <w:rsid w:val="005938C5"/>
    <w:rsid w:val="005A0479"/>
    <w:rsid w:val="005A1141"/>
    <w:rsid w:val="005D7046"/>
    <w:rsid w:val="005E4193"/>
    <w:rsid w:val="005F0BC9"/>
    <w:rsid w:val="005F3E0E"/>
    <w:rsid w:val="006177CB"/>
    <w:rsid w:val="0068433E"/>
    <w:rsid w:val="00693508"/>
    <w:rsid w:val="006A56F6"/>
    <w:rsid w:val="00721E9C"/>
    <w:rsid w:val="007D11B0"/>
    <w:rsid w:val="007F4FBC"/>
    <w:rsid w:val="00803063"/>
    <w:rsid w:val="00810110"/>
    <w:rsid w:val="00813CCA"/>
    <w:rsid w:val="00817F3D"/>
    <w:rsid w:val="00850BFA"/>
    <w:rsid w:val="0089559D"/>
    <w:rsid w:val="008D23C6"/>
    <w:rsid w:val="00992522"/>
    <w:rsid w:val="00A27CE2"/>
    <w:rsid w:val="00A76C38"/>
    <w:rsid w:val="00A84962"/>
    <w:rsid w:val="00AB58A8"/>
    <w:rsid w:val="00AD29FA"/>
    <w:rsid w:val="00AF31F2"/>
    <w:rsid w:val="00AF3C2D"/>
    <w:rsid w:val="00B0181D"/>
    <w:rsid w:val="00B164FB"/>
    <w:rsid w:val="00B74878"/>
    <w:rsid w:val="00B9533D"/>
    <w:rsid w:val="00BA11D0"/>
    <w:rsid w:val="00BE3DEE"/>
    <w:rsid w:val="00C0334F"/>
    <w:rsid w:val="00C17159"/>
    <w:rsid w:val="00C27A30"/>
    <w:rsid w:val="00C92E8E"/>
    <w:rsid w:val="00CC7557"/>
    <w:rsid w:val="00CF39CF"/>
    <w:rsid w:val="00D24083"/>
    <w:rsid w:val="00D74BF7"/>
    <w:rsid w:val="00D8104B"/>
    <w:rsid w:val="00DA4D1F"/>
    <w:rsid w:val="00DB3180"/>
    <w:rsid w:val="00DD07F4"/>
    <w:rsid w:val="00E1178C"/>
    <w:rsid w:val="00E3259F"/>
    <w:rsid w:val="00E32A42"/>
    <w:rsid w:val="00E3332E"/>
    <w:rsid w:val="00E37AD9"/>
    <w:rsid w:val="00E37B51"/>
    <w:rsid w:val="00E37CF6"/>
    <w:rsid w:val="00E45D46"/>
    <w:rsid w:val="00EA61DB"/>
    <w:rsid w:val="00ED2FA0"/>
    <w:rsid w:val="00EF71C1"/>
    <w:rsid w:val="00F74BF3"/>
    <w:rsid w:val="00F83835"/>
    <w:rsid w:val="00FC5FDE"/>
    <w:rsid w:val="00FD5FDA"/>
    <w:rsid w:val="00FE43CE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306D70"/>
  <w15:chartTrackingRefBased/>
  <w15:docId w15:val="{501B95BE-1C7D-4D5D-BF14-9C2AD14A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basedOn w:val="Normal"/>
    <w:link w:val="Ttulo1Car"/>
    <w:uiPriority w:val="9"/>
    <w:qFormat/>
    <w:rsid w:val="00C92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92E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2E8E"/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92E8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E325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259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259F"/>
    <w:rPr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59F"/>
    <w:rPr>
      <w:rFonts w:ascii="Segoe UI" w:hAnsi="Segoe UI" w:cs="Segoe UI"/>
      <w:sz w:val="18"/>
      <w:szCs w:val="18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25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259F"/>
    <w:rPr>
      <w:b/>
      <w:bCs/>
      <w:sz w:val="20"/>
      <w:szCs w:val="20"/>
      <w:lang w:val="es-CL"/>
    </w:rPr>
  </w:style>
  <w:style w:type="paragraph" w:styleId="Revisin">
    <w:name w:val="Revision"/>
    <w:hidden/>
    <w:uiPriority w:val="99"/>
    <w:semiHidden/>
    <w:rsid w:val="00E32A42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B74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F511C-2FCD-4B30-953D-BC1E50DE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Eduardo Astudillo Amestica</dc:creator>
  <cp:keywords/>
  <dc:description/>
  <cp:lastModifiedBy>Raul Pacheco Mendiboure</cp:lastModifiedBy>
  <cp:revision>3</cp:revision>
  <cp:lastPrinted>2021-06-15T21:33:00Z</cp:lastPrinted>
  <dcterms:created xsi:type="dcterms:W3CDTF">2021-06-15T21:38:00Z</dcterms:created>
  <dcterms:modified xsi:type="dcterms:W3CDTF">2021-06-15T21:57:00Z</dcterms:modified>
</cp:coreProperties>
</file>